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9AB8" w14:textId="26BCCD9B" w:rsidR="00B56937" w:rsidRPr="00E53A9A" w:rsidRDefault="00B56937" w:rsidP="00B56937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i/>
          <w:iCs/>
          <w:sz w:val="24"/>
          <w:szCs w:val="24"/>
          <w:lang w:eastAsia="es-CL"/>
        </w:rPr>
      </w:pPr>
      <w:r w:rsidRPr="00E53A9A">
        <w:rPr>
          <w:rFonts w:ascii="Nirmala UI" w:eastAsia="Times New Roman" w:hAnsi="Nirmala UI" w:cs="Nirmala UI"/>
          <w:i/>
          <w:iCs/>
          <w:sz w:val="24"/>
          <w:szCs w:val="24"/>
          <w:lang w:eastAsia="es-CL"/>
        </w:rPr>
        <w:t xml:space="preserve">índice </w:t>
      </w:r>
      <w:r w:rsidR="008E370F">
        <w:rPr>
          <w:rFonts w:ascii="Nirmala UI" w:eastAsia="Times New Roman" w:hAnsi="Nirmala UI" w:cs="Nirmala UI"/>
          <w:i/>
          <w:iCs/>
          <w:sz w:val="24"/>
          <w:szCs w:val="24"/>
          <w:lang w:eastAsia="es-CL"/>
        </w:rPr>
        <w:t>Asociación Gremial de Industrias Proveedoras:</w:t>
      </w:r>
    </w:p>
    <w:p w14:paraId="0A6B7C95" w14:textId="77777777" w:rsidR="00B56937" w:rsidRPr="00E53A9A" w:rsidRDefault="00B56937" w:rsidP="00B56937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i/>
          <w:iCs/>
          <w:sz w:val="24"/>
          <w:szCs w:val="24"/>
          <w:lang w:eastAsia="es-CL"/>
        </w:rPr>
      </w:pPr>
    </w:p>
    <w:p w14:paraId="58971DCB" w14:textId="4F39F7BE" w:rsidR="00B56937" w:rsidRPr="00E53A9A" w:rsidRDefault="00B56937" w:rsidP="00B56937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</w:pPr>
      <w:r w:rsidRPr="00E53A9A"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  <w:t xml:space="preserve">Ventas de la industria proveedora anotan un </w:t>
      </w:r>
      <w:r w:rsidR="00E35E6D"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  <w:t>11</w:t>
      </w:r>
      <w:r w:rsidRPr="00E53A9A"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  <w:t xml:space="preserve">,8% de crecimiento durante el primer trimestre de 2022 </w:t>
      </w:r>
    </w:p>
    <w:p w14:paraId="385EE165" w14:textId="77777777" w:rsidR="00B56937" w:rsidRPr="00E53A9A" w:rsidRDefault="00B56937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sz w:val="20"/>
          <w:szCs w:val="20"/>
          <w:lang w:eastAsia="es-CL"/>
        </w:rPr>
      </w:pPr>
    </w:p>
    <w:p w14:paraId="221EDD5F" w14:textId="6CF1222E" w:rsidR="00174752" w:rsidRPr="00C86EF0" w:rsidRDefault="00B56937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</w:pPr>
      <w:r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El crecimiento observado durante el periodo fue impulsado </w:t>
      </w:r>
      <w:r w:rsidR="00E35E6D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principalmente por las ventas </w:t>
      </w:r>
      <w:r w:rsidR="00A300A7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de</w:t>
      </w:r>
      <w:r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la categoría de cervezas, bebidas y licores</w:t>
      </w:r>
      <w:r w:rsidR="00E21BA9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. </w:t>
      </w:r>
    </w:p>
    <w:p w14:paraId="6B69A19A" w14:textId="77777777" w:rsidR="00174752" w:rsidRPr="00C86EF0" w:rsidRDefault="00174752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</w:pPr>
    </w:p>
    <w:p w14:paraId="2AF9A1B4" w14:textId="57B5685D" w:rsidR="00B56937" w:rsidRPr="00C86EF0" w:rsidRDefault="00174752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</w:pPr>
      <w:r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Para el resto del año el gremio proyecta un crecimiento más acotado </w:t>
      </w:r>
      <w:r w:rsidR="00042BCA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debido </w:t>
      </w:r>
      <w:r w:rsidR="00A71729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al alza </w:t>
      </w:r>
      <w:r w:rsidR="007D2C53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que han experimentado las</w:t>
      </w:r>
      <w:r w:rsidR="00A71729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materias primas</w:t>
      </w:r>
      <w:r w:rsidR="00A84ACE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y </w:t>
      </w:r>
      <w:r w:rsidR="008A7539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commoditi</w:t>
      </w:r>
      <w:r w:rsidR="00E03706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es.</w:t>
      </w:r>
      <w:r w:rsidR="008A7539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</w:t>
      </w:r>
      <w:r w:rsidR="00A300A7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Desde </w:t>
      </w:r>
      <w:r w:rsidR="00E03706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AGIP manifest</w:t>
      </w:r>
      <w:r w:rsidR="00A300A7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aron</w:t>
      </w:r>
      <w:r w:rsidR="00E03706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su preocupación </w:t>
      </w:r>
      <w:r w:rsidR="00A300A7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por los efectos </w:t>
      </w:r>
      <w:r w:rsidR="003123BB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en el nivel de precios, originados por </w:t>
      </w:r>
      <w:r w:rsidR="007D2C53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la guerra en Europa</w:t>
      </w:r>
      <w:r w:rsidR="00E03706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y</w:t>
      </w:r>
      <w:r w:rsidR="007D2C53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</w:t>
      </w:r>
      <w:r w:rsidR="00AA5C10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problemas </w:t>
      </w:r>
      <w:r w:rsidR="00C86EF0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logísticos</w:t>
      </w:r>
      <w:r w:rsidR="003123BB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. </w:t>
      </w:r>
    </w:p>
    <w:p w14:paraId="45BD5134" w14:textId="77777777" w:rsidR="00B56937" w:rsidRPr="00C86EF0" w:rsidRDefault="00D84C9B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</w:pPr>
      <w:r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pict w14:anchorId="4CFBEE8E">
          <v:rect id="_x0000_i1025" style="width:0;height:1.5pt" o:hralign="center" o:hrstd="t" o:hr="t" fillcolor="#a0a0a0" stroked="f"/>
        </w:pict>
      </w:r>
    </w:p>
    <w:p w14:paraId="0AE1176E" w14:textId="77777777" w:rsidR="00B56937" w:rsidRPr="00E53A9A" w:rsidRDefault="00B56937" w:rsidP="00B56937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lang w:eastAsia="es-CL"/>
        </w:rPr>
      </w:pPr>
    </w:p>
    <w:p w14:paraId="1BF8E45C" w14:textId="3EBFAB24" w:rsidR="00656528" w:rsidRPr="00E621FE" w:rsidRDefault="00656528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sz w:val="21"/>
          <w:szCs w:val="21"/>
          <w:lang w:eastAsia="es-CL"/>
        </w:rPr>
      </w:pPr>
      <w:r w:rsidRPr="00E621FE">
        <w:rPr>
          <w:rFonts w:ascii="Nirmala UI" w:eastAsia="Times New Roman" w:hAnsi="Nirmala UI" w:cs="Nirmala UI"/>
          <w:sz w:val="21"/>
          <w:szCs w:val="21"/>
          <w:lang w:eastAsia="es-CL"/>
        </w:rPr>
        <w:t>Las ventas de las principales empresas proveedoras, agrupadas en l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a Asociación Gremial de Industrias Proveedoras (AGIP</w:t>
      </w:r>
      <w:r w:rsidR="00474DB8">
        <w:rPr>
          <w:rStyle w:val="Refdenotaalpie"/>
          <w:rFonts w:ascii="Nirmala UI" w:eastAsia="Times New Roman" w:hAnsi="Nirmala UI" w:cs="Nirmala UI"/>
          <w:sz w:val="21"/>
          <w:szCs w:val="21"/>
          <w:lang w:eastAsia="es-CL"/>
        </w:rPr>
        <w:footnoteReference w:id="2"/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)</w:t>
      </w:r>
      <w:r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, alcanzaron </w:t>
      </w:r>
      <w:r w:rsidR="001E1018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durante el primer trimestre del año </w:t>
      </w:r>
      <w:r w:rsidRPr="00E621FE">
        <w:rPr>
          <w:rFonts w:ascii="Nirmala UI" w:eastAsia="Times New Roman" w:hAnsi="Nirmala UI" w:cs="Nirmala UI"/>
          <w:sz w:val="21"/>
          <w:szCs w:val="21"/>
          <w:lang w:eastAsia="es-CL"/>
        </w:rPr>
        <w:t>un crecimiento promedio en las ventas de un 11,8% nominal en comparación al</w:t>
      </w:r>
      <w:r w:rsidR="003A63C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9,9% </w:t>
      </w:r>
      <w:r w:rsidR="00460B43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del</w:t>
      </w:r>
      <w:r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mismo periodo del 2021</w:t>
      </w:r>
      <w:r w:rsidR="00460B43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. </w:t>
      </w:r>
    </w:p>
    <w:p w14:paraId="1C00B62F" w14:textId="77777777" w:rsidR="00172389" w:rsidRPr="00E621FE" w:rsidRDefault="00172389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sz w:val="21"/>
          <w:szCs w:val="21"/>
          <w:lang w:eastAsia="es-CL"/>
        </w:rPr>
      </w:pPr>
    </w:p>
    <w:p w14:paraId="3E357BBD" w14:textId="6D85FA72" w:rsidR="00B56937" w:rsidRPr="00E621FE" w:rsidRDefault="00172389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sz w:val="21"/>
          <w:szCs w:val="21"/>
          <w:lang w:eastAsia="es-CL"/>
        </w:rPr>
      </w:pPr>
      <w:r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El índice </w:t>
      </w:r>
      <w:r w:rsidR="00B06B69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que mide la venta a los distintos canales de distribución nacional, tales como supermercados, tradicional, detallista, mayorista y horeca</w:t>
      </w:r>
      <w:r w:rsidR="001E1018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,</w:t>
      </w:r>
      <w:r w:rsidR="00B06B69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</w:t>
      </w:r>
      <w:r w:rsidR="003B19F6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evidencia que, d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urante el trimestre, </w:t>
      </w:r>
      <w:r w:rsidR="004D5101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todos los 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meses observaron un mayor dinamismo </w:t>
      </w:r>
      <w:r w:rsidR="006F09A5">
        <w:rPr>
          <w:rFonts w:ascii="Nirmala UI" w:eastAsia="Times New Roman" w:hAnsi="Nirmala UI" w:cs="Nirmala UI"/>
          <w:sz w:val="21"/>
          <w:szCs w:val="21"/>
          <w:lang w:eastAsia="es-CL"/>
        </w:rPr>
        <w:t>que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202</w:t>
      </w:r>
      <w:r w:rsidR="003B19F6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1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. Según el indicador, </w:t>
      </w:r>
      <w:r w:rsidR="002B3585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febrero </w:t>
      </w:r>
      <w:r w:rsidR="006F09A5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tuvo la mayor variación 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con un </w:t>
      </w:r>
      <w:r w:rsidR="002B3585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13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,</w:t>
      </w:r>
      <w:r w:rsidR="002B3585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1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% de expansión, seguido por </w:t>
      </w:r>
      <w:r w:rsidR="002B3585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marzo 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con un 1</w:t>
      </w:r>
      <w:r w:rsidR="002B3585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2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,</w:t>
      </w:r>
      <w:r w:rsidR="002B3585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1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%.</w:t>
      </w:r>
      <w:r w:rsidR="002B3585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Por su parte, enero 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observó un 1</w:t>
      </w:r>
      <w:r w:rsidR="002B3585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0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,3% de crecimiento</w:t>
      </w:r>
      <w:r w:rsidR="004D5101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.</w:t>
      </w:r>
    </w:p>
    <w:p w14:paraId="24D8D548" w14:textId="77777777" w:rsidR="00B56937" w:rsidRPr="00E621FE" w:rsidRDefault="00B56937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sz w:val="21"/>
          <w:szCs w:val="21"/>
          <w:lang w:eastAsia="es-CL"/>
        </w:rPr>
      </w:pPr>
    </w:p>
    <w:p w14:paraId="1022F114" w14:textId="5E843653" w:rsidR="00247879" w:rsidRDefault="00B56937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 w:rsidRPr="00E621FE">
        <w:rPr>
          <w:rFonts w:ascii="Nirmala UI" w:hAnsi="Nirmala UI" w:cs="Nirmala UI"/>
          <w:sz w:val="21"/>
          <w:szCs w:val="21"/>
        </w:rPr>
        <w:t>En términos trimestrales, las categorías con mayores ventas fue</w:t>
      </w:r>
      <w:r w:rsidR="004D5101" w:rsidRPr="00E621FE">
        <w:rPr>
          <w:rFonts w:ascii="Nirmala UI" w:hAnsi="Nirmala UI" w:cs="Nirmala UI"/>
          <w:sz w:val="21"/>
          <w:szCs w:val="21"/>
        </w:rPr>
        <w:t xml:space="preserve"> </w:t>
      </w:r>
      <w:r w:rsidRPr="00E621FE">
        <w:rPr>
          <w:rFonts w:ascii="Nirmala UI" w:hAnsi="Nirmala UI" w:cs="Nirmala UI"/>
          <w:sz w:val="21"/>
          <w:szCs w:val="21"/>
        </w:rPr>
        <w:t xml:space="preserve">Cerveza, Bebidas y Licores </w:t>
      </w:r>
      <w:r w:rsidR="006F09A5">
        <w:rPr>
          <w:rFonts w:ascii="Nirmala UI" w:hAnsi="Nirmala UI" w:cs="Nirmala UI"/>
          <w:sz w:val="21"/>
          <w:szCs w:val="21"/>
        </w:rPr>
        <w:t xml:space="preserve">anotando </w:t>
      </w:r>
      <w:r w:rsidRPr="00E621FE">
        <w:rPr>
          <w:rFonts w:ascii="Nirmala UI" w:hAnsi="Nirmala UI" w:cs="Nirmala UI"/>
          <w:sz w:val="21"/>
          <w:szCs w:val="21"/>
        </w:rPr>
        <w:t xml:space="preserve">un </w:t>
      </w:r>
      <w:r w:rsidR="002B3585" w:rsidRPr="00E621FE">
        <w:rPr>
          <w:rFonts w:ascii="Nirmala UI" w:hAnsi="Nirmala UI" w:cs="Nirmala UI"/>
          <w:sz w:val="21"/>
          <w:szCs w:val="21"/>
        </w:rPr>
        <w:t>16</w:t>
      </w:r>
      <w:r w:rsidRPr="00E621FE">
        <w:rPr>
          <w:rFonts w:ascii="Nirmala UI" w:hAnsi="Nirmala UI" w:cs="Nirmala UI"/>
          <w:sz w:val="21"/>
          <w:szCs w:val="21"/>
        </w:rPr>
        <w:t>,</w:t>
      </w:r>
      <w:r w:rsidR="002B3585" w:rsidRPr="00E621FE">
        <w:rPr>
          <w:rFonts w:ascii="Nirmala UI" w:hAnsi="Nirmala UI" w:cs="Nirmala UI"/>
          <w:sz w:val="21"/>
          <w:szCs w:val="21"/>
        </w:rPr>
        <w:t>7</w:t>
      </w:r>
      <w:r w:rsidRPr="00E621FE">
        <w:rPr>
          <w:rFonts w:ascii="Nirmala UI" w:hAnsi="Nirmala UI" w:cs="Nirmala UI"/>
          <w:sz w:val="21"/>
          <w:szCs w:val="21"/>
        </w:rPr>
        <w:t>%</w:t>
      </w:r>
      <w:r w:rsidR="00B95BC3">
        <w:rPr>
          <w:rFonts w:ascii="Nirmala UI" w:hAnsi="Nirmala UI" w:cs="Nirmala UI"/>
          <w:sz w:val="21"/>
          <w:szCs w:val="21"/>
        </w:rPr>
        <w:t xml:space="preserve"> y </w:t>
      </w:r>
      <w:r w:rsidR="002B3585" w:rsidRPr="00E621FE">
        <w:rPr>
          <w:rFonts w:ascii="Nirmala UI" w:hAnsi="Nirmala UI" w:cs="Nirmala UI"/>
          <w:sz w:val="21"/>
          <w:szCs w:val="21"/>
        </w:rPr>
        <w:t xml:space="preserve">Abarrotes Perecibles </w:t>
      </w:r>
      <w:r w:rsidRPr="00E621FE">
        <w:rPr>
          <w:rFonts w:ascii="Nirmala UI" w:hAnsi="Nirmala UI" w:cs="Nirmala UI"/>
          <w:sz w:val="21"/>
          <w:szCs w:val="21"/>
        </w:rPr>
        <w:t xml:space="preserve">con un </w:t>
      </w:r>
      <w:r w:rsidR="002B3585" w:rsidRPr="00E621FE">
        <w:rPr>
          <w:rFonts w:ascii="Nirmala UI" w:hAnsi="Nirmala UI" w:cs="Nirmala UI"/>
          <w:sz w:val="21"/>
          <w:szCs w:val="21"/>
        </w:rPr>
        <w:t>11</w:t>
      </w:r>
      <w:r w:rsidRPr="00E621FE">
        <w:rPr>
          <w:rFonts w:ascii="Nirmala UI" w:hAnsi="Nirmala UI" w:cs="Nirmala UI"/>
          <w:sz w:val="21"/>
          <w:szCs w:val="21"/>
        </w:rPr>
        <w:t>,</w:t>
      </w:r>
      <w:r w:rsidR="002B3585" w:rsidRPr="00E621FE">
        <w:rPr>
          <w:rFonts w:ascii="Nirmala UI" w:hAnsi="Nirmala UI" w:cs="Nirmala UI"/>
          <w:sz w:val="21"/>
          <w:szCs w:val="21"/>
        </w:rPr>
        <w:t>3</w:t>
      </w:r>
      <w:r w:rsidR="006F09A5">
        <w:rPr>
          <w:rFonts w:ascii="Nirmala UI" w:hAnsi="Nirmala UI" w:cs="Nirmala UI"/>
          <w:sz w:val="21"/>
          <w:szCs w:val="21"/>
        </w:rPr>
        <w:t>%</w:t>
      </w:r>
      <w:r w:rsidRPr="00E621FE">
        <w:rPr>
          <w:rFonts w:ascii="Nirmala UI" w:hAnsi="Nirmala UI" w:cs="Nirmala UI"/>
          <w:sz w:val="21"/>
          <w:szCs w:val="21"/>
        </w:rPr>
        <w:t xml:space="preserve">. Por su parte, Abarrotes no Alimentos registró un </w:t>
      </w:r>
      <w:r w:rsidR="00D83F76" w:rsidRPr="00E621FE">
        <w:rPr>
          <w:rFonts w:ascii="Nirmala UI" w:hAnsi="Nirmala UI" w:cs="Nirmala UI"/>
          <w:sz w:val="21"/>
          <w:szCs w:val="21"/>
        </w:rPr>
        <w:t>10</w:t>
      </w:r>
      <w:r w:rsidRPr="00E621FE">
        <w:rPr>
          <w:rFonts w:ascii="Nirmala UI" w:hAnsi="Nirmala UI" w:cs="Nirmala UI"/>
          <w:sz w:val="21"/>
          <w:szCs w:val="21"/>
        </w:rPr>
        <w:t xml:space="preserve">,4%, mientras que Alimentos </w:t>
      </w:r>
      <w:r w:rsidR="00247879">
        <w:rPr>
          <w:rFonts w:ascii="Nirmala UI" w:hAnsi="Nirmala UI" w:cs="Nirmala UI"/>
          <w:sz w:val="21"/>
          <w:szCs w:val="21"/>
        </w:rPr>
        <w:t xml:space="preserve">e </w:t>
      </w:r>
      <w:r w:rsidR="00247879" w:rsidRPr="00E621FE">
        <w:rPr>
          <w:rFonts w:ascii="Nirmala UI" w:hAnsi="Nirmala UI" w:cs="Nirmala UI"/>
          <w:sz w:val="21"/>
          <w:szCs w:val="21"/>
        </w:rPr>
        <w:t>Higiene y Belleza</w:t>
      </w:r>
      <w:r w:rsidR="00247879">
        <w:rPr>
          <w:rFonts w:ascii="Nirmala UI" w:hAnsi="Nirmala UI" w:cs="Nirmala UI"/>
          <w:sz w:val="21"/>
          <w:szCs w:val="21"/>
        </w:rPr>
        <w:t xml:space="preserve"> marcaron un </w:t>
      </w:r>
      <w:r w:rsidR="00247879" w:rsidRPr="00E621FE">
        <w:rPr>
          <w:rFonts w:ascii="Nirmala UI" w:hAnsi="Nirmala UI" w:cs="Nirmala UI"/>
          <w:sz w:val="21"/>
          <w:szCs w:val="21"/>
        </w:rPr>
        <w:t>9,6%</w:t>
      </w:r>
      <w:r w:rsidR="00247879">
        <w:rPr>
          <w:rFonts w:ascii="Nirmala UI" w:hAnsi="Nirmala UI" w:cs="Nirmala UI"/>
          <w:sz w:val="21"/>
          <w:szCs w:val="21"/>
        </w:rPr>
        <w:t xml:space="preserve"> y </w:t>
      </w:r>
      <w:r w:rsidR="00247879" w:rsidRPr="00E621FE">
        <w:rPr>
          <w:rFonts w:ascii="Nirmala UI" w:hAnsi="Nirmala UI" w:cs="Nirmala UI"/>
          <w:sz w:val="21"/>
          <w:szCs w:val="21"/>
        </w:rPr>
        <w:t>6,8% respectivamente</w:t>
      </w:r>
      <w:r w:rsidR="00247879">
        <w:rPr>
          <w:rFonts w:ascii="Nirmala UI" w:hAnsi="Nirmala UI" w:cs="Nirmala UI"/>
          <w:sz w:val="21"/>
          <w:szCs w:val="21"/>
        </w:rPr>
        <w:t xml:space="preserve">. </w:t>
      </w:r>
    </w:p>
    <w:p w14:paraId="61D20F72" w14:textId="77777777" w:rsidR="00B56937" w:rsidRPr="00E621FE" w:rsidRDefault="00B56937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</w:p>
    <w:p w14:paraId="6758F0DF" w14:textId="2ADDD868" w:rsidR="003706B5" w:rsidRPr="00E621FE" w:rsidRDefault="00B56937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 w:rsidRPr="00E621FE">
        <w:rPr>
          <w:rFonts w:ascii="Nirmala UI" w:hAnsi="Nirmala UI" w:cs="Nirmala UI"/>
          <w:sz w:val="21"/>
          <w:szCs w:val="21"/>
        </w:rPr>
        <w:t>“</w:t>
      </w:r>
      <w:r w:rsidR="00D83F76" w:rsidRPr="00E621FE">
        <w:rPr>
          <w:rFonts w:ascii="Nirmala UI" w:hAnsi="Nirmala UI" w:cs="Nirmala UI"/>
          <w:sz w:val="21"/>
          <w:szCs w:val="21"/>
        </w:rPr>
        <w:t>L</w:t>
      </w:r>
      <w:r w:rsidR="002A673E">
        <w:rPr>
          <w:rFonts w:ascii="Nirmala UI" w:hAnsi="Nirmala UI" w:cs="Nirmala UI"/>
          <w:sz w:val="21"/>
          <w:szCs w:val="21"/>
        </w:rPr>
        <w:t xml:space="preserve">a mayor actividad </w:t>
      </w:r>
      <w:r w:rsidRPr="00E621FE">
        <w:rPr>
          <w:rFonts w:ascii="Nirmala UI" w:hAnsi="Nirmala UI" w:cs="Nirmala UI"/>
          <w:sz w:val="21"/>
          <w:szCs w:val="21"/>
        </w:rPr>
        <w:t xml:space="preserve">de las ventas de la industria proveedora </w:t>
      </w:r>
      <w:r w:rsidR="00934276">
        <w:rPr>
          <w:rFonts w:ascii="Nirmala UI" w:hAnsi="Nirmala UI" w:cs="Nirmala UI"/>
          <w:sz w:val="21"/>
          <w:szCs w:val="21"/>
        </w:rPr>
        <w:t xml:space="preserve">es </w:t>
      </w:r>
      <w:r w:rsidRPr="00E621FE">
        <w:rPr>
          <w:rFonts w:ascii="Nirmala UI" w:hAnsi="Nirmala UI" w:cs="Nirmala UI"/>
          <w:sz w:val="21"/>
          <w:szCs w:val="21"/>
        </w:rPr>
        <w:t xml:space="preserve">una </w:t>
      </w:r>
      <w:r w:rsidR="00E03706">
        <w:rPr>
          <w:rFonts w:ascii="Nirmala UI" w:hAnsi="Nirmala UI" w:cs="Nirmala UI"/>
          <w:sz w:val="21"/>
          <w:szCs w:val="21"/>
        </w:rPr>
        <w:t xml:space="preserve">buena </w:t>
      </w:r>
      <w:r w:rsidRPr="00E621FE">
        <w:rPr>
          <w:rFonts w:ascii="Nirmala UI" w:hAnsi="Nirmala UI" w:cs="Nirmala UI"/>
          <w:sz w:val="21"/>
          <w:szCs w:val="21"/>
        </w:rPr>
        <w:t xml:space="preserve">noticia </w:t>
      </w:r>
      <w:r w:rsidR="00CC7E7C" w:rsidRPr="00E621FE">
        <w:rPr>
          <w:rFonts w:ascii="Nirmala UI" w:hAnsi="Nirmala UI" w:cs="Nirmala UI"/>
          <w:sz w:val="21"/>
          <w:szCs w:val="21"/>
        </w:rPr>
        <w:t xml:space="preserve">que </w:t>
      </w:r>
      <w:r w:rsidR="002A2D5F" w:rsidRPr="00E621FE">
        <w:rPr>
          <w:rFonts w:ascii="Nirmala UI" w:hAnsi="Nirmala UI" w:cs="Nirmala UI"/>
          <w:sz w:val="21"/>
          <w:szCs w:val="21"/>
        </w:rPr>
        <w:t>se explica porque en el periodo estival suele haber una mayor presión sobre el consumo</w:t>
      </w:r>
      <w:r w:rsidR="00C33BC0" w:rsidRPr="00E621FE">
        <w:rPr>
          <w:rFonts w:ascii="Nirmala UI" w:hAnsi="Nirmala UI" w:cs="Nirmala UI"/>
          <w:sz w:val="21"/>
          <w:szCs w:val="21"/>
        </w:rPr>
        <w:t xml:space="preserve">, lo que </w:t>
      </w:r>
      <w:r w:rsidR="00C274FE" w:rsidRPr="00E621FE">
        <w:rPr>
          <w:rFonts w:ascii="Nirmala UI" w:hAnsi="Nirmala UI" w:cs="Nirmala UI"/>
          <w:sz w:val="21"/>
          <w:szCs w:val="21"/>
        </w:rPr>
        <w:t xml:space="preserve">se </w:t>
      </w:r>
      <w:r w:rsidR="00C33BC0" w:rsidRPr="00E621FE">
        <w:rPr>
          <w:rFonts w:ascii="Nirmala UI" w:hAnsi="Nirmala UI" w:cs="Nirmala UI"/>
          <w:sz w:val="21"/>
          <w:szCs w:val="21"/>
        </w:rPr>
        <w:t xml:space="preserve">confirma </w:t>
      </w:r>
      <w:r w:rsidR="00C274FE" w:rsidRPr="00E621FE">
        <w:rPr>
          <w:rFonts w:ascii="Nirmala UI" w:hAnsi="Nirmala UI" w:cs="Nirmala UI"/>
          <w:sz w:val="21"/>
          <w:szCs w:val="21"/>
        </w:rPr>
        <w:t>al mirar la actividad</w:t>
      </w:r>
      <w:r w:rsidR="00C33BC0" w:rsidRPr="00E621FE">
        <w:rPr>
          <w:rFonts w:ascii="Nirmala UI" w:hAnsi="Nirmala UI" w:cs="Nirmala UI"/>
          <w:sz w:val="21"/>
          <w:szCs w:val="21"/>
        </w:rPr>
        <w:t xml:space="preserve"> </w:t>
      </w:r>
      <w:r w:rsidR="00655746" w:rsidRPr="00E621FE">
        <w:rPr>
          <w:rFonts w:ascii="Nirmala UI" w:hAnsi="Nirmala UI" w:cs="Nirmala UI"/>
          <w:sz w:val="21"/>
          <w:szCs w:val="21"/>
        </w:rPr>
        <w:t>económica mensual</w:t>
      </w:r>
      <w:r w:rsidR="00C274FE" w:rsidRPr="00E621FE">
        <w:rPr>
          <w:rFonts w:ascii="Nirmala UI" w:hAnsi="Nirmala UI" w:cs="Nirmala UI"/>
          <w:sz w:val="21"/>
          <w:szCs w:val="21"/>
        </w:rPr>
        <w:t xml:space="preserve"> informada por el Banco Central para los meses de enero y febrero</w:t>
      </w:r>
      <w:r w:rsidR="009948A9" w:rsidRPr="00E621FE">
        <w:rPr>
          <w:rFonts w:ascii="Nirmala UI" w:hAnsi="Nirmala UI" w:cs="Nirmala UI"/>
          <w:sz w:val="21"/>
          <w:szCs w:val="21"/>
        </w:rPr>
        <w:t xml:space="preserve">”, aseguró Vasco Costa, presidente del gremio. </w:t>
      </w:r>
    </w:p>
    <w:p w14:paraId="39578701" w14:textId="77777777" w:rsidR="003706B5" w:rsidRPr="00E621FE" w:rsidRDefault="003706B5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</w:p>
    <w:p w14:paraId="168AB38C" w14:textId="6AE8DE38" w:rsidR="00560D82" w:rsidRPr="00E621FE" w:rsidRDefault="003706B5" w:rsidP="00C127F6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 w:rsidRPr="00E621FE">
        <w:rPr>
          <w:rFonts w:ascii="Nirmala UI" w:hAnsi="Nirmala UI" w:cs="Nirmala UI"/>
          <w:sz w:val="21"/>
          <w:szCs w:val="21"/>
        </w:rPr>
        <w:t xml:space="preserve">Para el resto del año, si bien el líder gremial </w:t>
      </w:r>
      <w:r w:rsidR="00245860" w:rsidRPr="00E621FE">
        <w:rPr>
          <w:rFonts w:ascii="Nirmala UI" w:hAnsi="Nirmala UI" w:cs="Nirmala UI"/>
          <w:sz w:val="21"/>
          <w:szCs w:val="21"/>
        </w:rPr>
        <w:t>no adelantó una estimación, s</w:t>
      </w:r>
      <w:r w:rsidR="006F09A5">
        <w:rPr>
          <w:rFonts w:ascii="Nirmala UI" w:hAnsi="Nirmala UI" w:cs="Nirmala UI"/>
          <w:sz w:val="21"/>
          <w:szCs w:val="21"/>
        </w:rPr>
        <w:t>í</w:t>
      </w:r>
      <w:r w:rsidR="00245860" w:rsidRPr="00E621FE">
        <w:rPr>
          <w:rFonts w:ascii="Nirmala UI" w:hAnsi="Nirmala UI" w:cs="Nirmala UI"/>
          <w:sz w:val="21"/>
          <w:szCs w:val="21"/>
        </w:rPr>
        <w:t xml:space="preserve"> señaló </w:t>
      </w:r>
      <w:r w:rsidR="00C25243" w:rsidRPr="00E621FE">
        <w:rPr>
          <w:rFonts w:ascii="Nirmala UI" w:hAnsi="Nirmala UI" w:cs="Nirmala UI"/>
          <w:sz w:val="21"/>
          <w:szCs w:val="21"/>
        </w:rPr>
        <w:t>que el</w:t>
      </w:r>
      <w:r w:rsidR="00245860" w:rsidRPr="00E621FE">
        <w:rPr>
          <w:rFonts w:ascii="Nirmala UI" w:hAnsi="Nirmala UI" w:cs="Nirmala UI"/>
          <w:sz w:val="21"/>
          <w:szCs w:val="21"/>
        </w:rPr>
        <w:t xml:space="preserve"> alza de que han experimentado </w:t>
      </w:r>
      <w:r w:rsidR="00866ECF">
        <w:rPr>
          <w:rFonts w:ascii="Nirmala UI" w:hAnsi="Nirmala UI" w:cs="Nirmala UI"/>
          <w:sz w:val="21"/>
          <w:szCs w:val="21"/>
        </w:rPr>
        <w:t>ciertas materias primas</w:t>
      </w:r>
      <w:r w:rsidR="00F86431">
        <w:rPr>
          <w:rFonts w:ascii="Nirmala UI" w:hAnsi="Nirmala UI" w:cs="Nirmala UI"/>
          <w:sz w:val="21"/>
          <w:szCs w:val="21"/>
        </w:rPr>
        <w:t xml:space="preserve"> a nivel global</w:t>
      </w:r>
      <w:r w:rsidR="00866ECF">
        <w:rPr>
          <w:rFonts w:ascii="Nirmala UI" w:hAnsi="Nirmala UI" w:cs="Nirmala UI"/>
          <w:sz w:val="21"/>
          <w:szCs w:val="21"/>
        </w:rPr>
        <w:t xml:space="preserve"> como</w:t>
      </w:r>
      <w:r w:rsidR="00C66D33">
        <w:rPr>
          <w:rFonts w:ascii="Nirmala UI" w:hAnsi="Nirmala UI" w:cs="Nirmala UI"/>
          <w:sz w:val="21"/>
          <w:szCs w:val="21"/>
        </w:rPr>
        <w:t xml:space="preserve"> el maíz, </w:t>
      </w:r>
      <w:r w:rsidR="006F09A5">
        <w:rPr>
          <w:rFonts w:ascii="Nirmala UI" w:hAnsi="Nirmala UI" w:cs="Nirmala UI"/>
          <w:sz w:val="21"/>
          <w:szCs w:val="21"/>
        </w:rPr>
        <w:t>el</w:t>
      </w:r>
      <w:r w:rsidR="00F50C3B">
        <w:rPr>
          <w:rFonts w:ascii="Nirmala UI" w:hAnsi="Nirmala UI" w:cs="Nirmala UI"/>
          <w:sz w:val="21"/>
          <w:szCs w:val="21"/>
        </w:rPr>
        <w:t xml:space="preserve"> azúcar, </w:t>
      </w:r>
      <w:r w:rsidR="00382B80">
        <w:rPr>
          <w:rFonts w:ascii="Nirmala UI" w:hAnsi="Nirmala UI" w:cs="Nirmala UI"/>
          <w:sz w:val="21"/>
          <w:szCs w:val="21"/>
        </w:rPr>
        <w:t>el petróleo e insumos para empaque</w:t>
      </w:r>
      <w:r w:rsidR="00866ECF">
        <w:rPr>
          <w:rFonts w:ascii="Nirmala UI" w:hAnsi="Nirmala UI" w:cs="Nirmala UI"/>
          <w:sz w:val="21"/>
          <w:szCs w:val="21"/>
        </w:rPr>
        <w:t xml:space="preserve"> </w:t>
      </w:r>
      <w:r w:rsidR="00245860" w:rsidRPr="00E621FE">
        <w:rPr>
          <w:rFonts w:ascii="Nirmala UI" w:hAnsi="Nirmala UI" w:cs="Nirmala UI"/>
          <w:sz w:val="21"/>
          <w:szCs w:val="21"/>
        </w:rPr>
        <w:t>a raíz de la guerra en Europa</w:t>
      </w:r>
      <w:r w:rsidR="00F86431">
        <w:rPr>
          <w:rFonts w:ascii="Nirmala UI" w:hAnsi="Nirmala UI" w:cs="Nirmala UI"/>
          <w:sz w:val="21"/>
          <w:szCs w:val="21"/>
        </w:rPr>
        <w:t>,</w:t>
      </w:r>
      <w:r w:rsidR="00382B80">
        <w:rPr>
          <w:rFonts w:ascii="Nirmala UI" w:hAnsi="Nirmala UI" w:cs="Nirmala UI"/>
          <w:sz w:val="21"/>
          <w:szCs w:val="21"/>
        </w:rPr>
        <w:t xml:space="preserve"> y</w:t>
      </w:r>
      <w:r w:rsidR="00245860" w:rsidRPr="00E621FE">
        <w:rPr>
          <w:rFonts w:ascii="Nirmala UI" w:hAnsi="Nirmala UI" w:cs="Nirmala UI"/>
          <w:sz w:val="21"/>
          <w:szCs w:val="21"/>
        </w:rPr>
        <w:t xml:space="preserve"> </w:t>
      </w:r>
      <w:r w:rsidR="006F09A5">
        <w:rPr>
          <w:rFonts w:ascii="Nirmala UI" w:hAnsi="Nirmala UI" w:cs="Nirmala UI"/>
          <w:sz w:val="21"/>
          <w:szCs w:val="21"/>
        </w:rPr>
        <w:t xml:space="preserve">los </w:t>
      </w:r>
      <w:r w:rsidR="00245860" w:rsidRPr="00E621FE">
        <w:rPr>
          <w:rFonts w:ascii="Nirmala UI" w:hAnsi="Nirmala UI" w:cs="Nirmala UI"/>
          <w:sz w:val="21"/>
          <w:szCs w:val="21"/>
        </w:rPr>
        <w:t xml:space="preserve">problemas logísticos, podrían impactar negativamente en </w:t>
      </w:r>
      <w:r w:rsidR="00F86431">
        <w:rPr>
          <w:rFonts w:ascii="Nirmala UI" w:hAnsi="Nirmala UI" w:cs="Nirmala UI"/>
          <w:sz w:val="21"/>
          <w:szCs w:val="21"/>
        </w:rPr>
        <w:t>el dinamismo</w:t>
      </w:r>
      <w:r w:rsidR="00245860" w:rsidRPr="00E621FE">
        <w:rPr>
          <w:rFonts w:ascii="Nirmala UI" w:hAnsi="Nirmala UI" w:cs="Nirmala UI"/>
          <w:sz w:val="21"/>
          <w:szCs w:val="21"/>
        </w:rPr>
        <w:t xml:space="preserve"> de la industria</w:t>
      </w:r>
      <w:r w:rsidR="00F86431">
        <w:rPr>
          <w:rFonts w:ascii="Nirmala UI" w:hAnsi="Nirmala UI" w:cs="Nirmala UI"/>
          <w:sz w:val="21"/>
          <w:szCs w:val="21"/>
        </w:rPr>
        <w:t xml:space="preserve">. </w:t>
      </w:r>
    </w:p>
    <w:p w14:paraId="1B825E10" w14:textId="77777777" w:rsidR="00560D82" w:rsidRPr="00E621FE" w:rsidRDefault="00560D82" w:rsidP="00C127F6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</w:p>
    <w:p w14:paraId="64023F3C" w14:textId="2A4856BD" w:rsidR="0025645D" w:rsidRPr="00E621FE" w:rsidRDefault="009948A9" w:rsidP="0025645D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 w:rsidRPr="00E621FE">
        <w:rPr>
          <w:rFonts w:ascii="Nirmala UI" w:hAnsi="Nirmala UI" w:cs="Nirmala UI"/>
          <w:sz w:val="21"/>
          <w:szCs w:val="21"/>
        </w:rPr>
        <w:t>“Vemos con preocupación la presión inflacionaria existente que</w:t>
      </w:r>
      <w:r w:rsidR="00245860" w:rsidRPr="00E621FE">
        <w:rPr>
          <w:rFonts w:ascii="Nirmala UI" w:hAnsi="Nirmala UI" w:cs="Nirmala UI"/>
          <w:sz w:val="21"/>
          <w:szCs w:val="21"/>
        </w:rPr>
        <w:t xml:space="preserve"> afecta a los chilenos</w:t>
      </w:r>
      <w:r w:rsidR="00A02BDC" w:rsidRPr="00E621FE">
        <w:rPr>
          <w:rFonts w:ascii="Nirmala UI" w:hAnsi="Nirmala UI" w:cs="Nirmala UI"/>
          <w:sz w:val="21"/>
          <w:szCs w:val="21"/>
        </w:rPr>
        <w:t xml:space="preserve">. </w:t>
      </w:r>
      <w:r w:rsidR="009000AB">
        <w:rPr>
          <w:rFonts w:ascii="Nirmala UI" w:hAnsi="Nirmala UI" w:cs="Nirmala UI"/>
          <w:sz w:val="21"/>
          <w:szCs w:val="21"/>
        </w:rPr>
        <w:t xml:space="preserve"> Al alza </w:t>
      </w:r>
      <w:r w:rsidR="00A02BDC" w:rsidRPr="00E621FE">
        <w:rPr>
          <w:rFonts w:ascii="Nirmala UI" w:hAnsi="Nirmala UI" w:cs="Nirmala UI"/>
          <w:sz w:val="21"/>
          <w:szCs w:val="21"/>
        </w:rPr>
        <w:t>de ciertas materias primas</w:t>
      </w:r>
      <w:r w:rsidR="00EB6424">
        <w:rPr>
          <w:rFonts w:ascii="Nirmala UI" w:hAnsi="Nirmala UI" w:cs="Nirmala UI"/>
          <w:sz w:val="21"/>
          <w:szCs w:val="21"/>
        </w:rPr>
        <w:t>,</w:t>
      </w:r>
      <w:r w:rsidR="009000AB">
        <w:rPr>
          <w:rFonts w:ascii="Nirmala UI" w:hAnsi="Nirmala UI" w:cs="Nirmala UI"/>
          <w:sz w:val="21"/>
          <w:szCs w:val="21"/>
        </w:rPr>
        <w:t xml:space="preserve"> que incide en </w:t>
      </w:r>
      <w:r w:rsidR="00833FF1">
        <w:rPr>
          <w:rFonts w:ascii="Nirmala UI" w:hAnsi="Nirmala UI" w:cs="Nirmala UI"/>
          <w:sz w:val="21"/>
          <w:szCs w:val="21"/>
        </w:rPr>
        <w:t xml:space="preserve">mayores </w:t>
      </w:r>
      <w:r w:rsidR="00A02BDC" w:rsidRPr="00E621FE">
        <w:rPr>
          <w:rFonts w:ascii="Nirmala UI" w:hAnsi="Nirmala UI" w:cs="Nirmala UI"/>
          <w:sz w:val="21"/>
          <w:szCs w:val="21"/>
        </w:rPr>
        <w:t>costos de producción</w:t>
      </w:r>
      <w:r w:rsidR="00EB6424">
        <w:rPr>
          <w:rFonts w:ascii="Nirmala UI" w:hAnsi="Nirmala UI" w:cs="Nirmala UI"/>
          <w:sz w:val="21"/>
          <w:szCs w:val="21"/>
        </w:rPr>
        <w:t>,</w:t>
      </w:r>
      <w:r w:rsidR="009000AB">
        <w:rPr>
          <w:rFonts w:ascii="Nirmala UI" w:hAnsi="Nirmala UI" w:cs="Nirmala UI"/>
          <w:sz w:val="21"/>
          <w:szCs w:val="21"/>
        </w:rPr>
        <w:t xml:space="preserve"> se suma una mayor presión </w:t>
      </w:r>
      <w:r w:rsidR="009000AB">
        <w:rPr>
          <w:rFonts w:ascii="Nirmala UI" w:hAnsi="Nirmala UI" w:cs="Nirmala UI"/>
          <w:sz w:val="21"/>
          <w:szCs w:val="21"/>
        </w:rPr>
        <w:lastRenderedPageBreak/>
        <w:t>en la demanda</w:t>
      </w:r>
      <w:r w:rsidR="00EB6424">
        <w:rPr>
          <w:rFonts w:ascii="Nirmala UI" w:hAnsi="Nirmala UI" w:cs="Nirmala UI"/>
          <w:sz w:val="21"/>
          <w:szCs w:val="21"/>
        </w:rPr>
        <w:t xml:space="preserve"> por efecto de una mayor </w:t>
      </w:r>
      <w:r w:rsidR="0025645D">
        <w:rPr>
          <w:rFonts w:ascii="Nirmala UI" w:hAnsi="Nirmala UI" w:cs="Nirmala UI"/>
          <w:sz w:val="21"/>
          <w:szCs w:val="21"/>
        </w:rPr>
        <w:t>disponibilidad</w:t>
      </w:r>
      <w:r w:rsidR="00EB6424">
        <w:rPr>
          <w:rFonts w:ascii="Nirmala UI" w:hAnsi="Nirmala UI" w:cs="Nirmala UI"/>
          <w:sz w:val="21"/>
          <w:szCs w:val="21"/>
        </w:rPr>
        <w:t xml:space="preserve"> de dinero </w:t>
      </w:r>
      <w:r w:rsidR="0025645D">
        <w:rPr>
          <w:rFonts w:ascii="Nirmala UI" w:hAnsi="Nirmala UI" w:cs="Nirmala UI"/>
          <w:sz w:val="21"/>
          <w:szCs w:val="21"/>
        </w:rPr>
        <w:t>por efecto de los retiros</w:t>
      </w:r>
      <w:r w:rsidR="00472087">
        <w:rPr>
          <w:rFonts w:ascii="Nirmala UI" w:hAnsi="Nirmala UI" w:cs="Nirmala UI"/>
          <w:sz w:val="21"/>
          <w:szCs w:val="21"/>
        </w:rPr>
        <w:t>, sin que haya una mayor producción</w:t>
      </w:r>
      <w:r w:rsidR="003123BB">
        <w:rPr>
          <w:rFonts w:ascii="Nirmala UI" w:hAnsi="Nirmala UI" w:cs="Nirmala UI"/>
          <w:sz w:val="21"/>
          <w:szCs w:val="21"/>
        </w:rPr>
        <w:t>,</w:t>
      </w:r>
      <w:r w:rsidR="0025645D">
        <w:rPr>
          <w:rFonts w:ascii="Nirmala UI" w:hAnsi="Nirmala UI" w:cs="Nirmala UI"/>
          <w:sz w:val="21"/>
          <w:szCs w:val="21"/>
        </w:rPr>
        <w:t xml:space="preserve"> lo que incide en </w:t>
      </w:r>
      <w:r w:rsidR="003123BB">
        <w:rPr>
          <w:rFonts w:ascii="Nirmala UI" w:hAnsi="Nirmala UI" w:cs="Nirmala UI"/>
          <w:sz w:val="21"/>
          <w:szCs w:val="21"/>
        </w:rPr>
        <w:t>un</w:t>
      </w:r>
      <w:r w:rsidR="0025645D">
        <w:rPr>
          <w:rFonts w:ascii="Nirmala UI" w:hAnsi="Nirmala UI" w:cs="Nirmala UI"/>
          <w:sz w:val="21"/>
          <w:szCs w:val="21"/>
        </w:rPr>
        <w:t xml:space="preserve"> recalentamiento de nuestra economía.  Esperamos que como país podamos lograr cuanto antes </w:t>
      </w:r>
      <w:r w:rsidR="0025645D" w:rsidRPr="00E621FE">
        <w:rPr>
          <w:rFonts w:ascii="Nirmala UI" w:hAnsi="Nirmala UI" w:cs="Nirmala UI"/>
          <w:sz w:val="21"/>
          <w:szCs w:val="21"/>
        </w:rPr>
        <w:t xml:space="preserve">reducir la presión inflacionaria que hoy afecta </w:t>
      </w:r>
      <w:r w:rsidR="0025645D">
        <w:rPr>
          <w:rFonts w:ascii="Nirmala UI" w:hAnsi="Nirmala UI" w:cs="Nirmala UI"/>
          <w:sz w:val="21"/>
          <w:szCs w:val="21"/>
        </w:rPr>
        <w:t>a la economía como un todo, incluyendo</w:t>
      </w:r>
      <w:r w:rsidR="0025645D" w:rsidRPr="00E621FE">
        <w:rPr>
          <w:rFonts w:ascii="Nirmala UI" w:hAnsi="Nirmala UI" w:cs="Nirmala UI"/>
          <w:sz w:val="21"/>
          <w:szCs w:val="21"/>
        </w:rPr>
        <w:t xml:space="preserve"> la cadena de suministro”, concluyó Costa. </w:t>
      </w:r>
    </w:p>
    <w:p w14:paraId="02931C86" w14:textId="71938E93" w:rsidR="00C127F6" w:rsidRPr="00E621FE" w:rsidRDefault="005E372A" w:rsidP="00C127F6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18699F" wp14:editId="2BC91862">
            <wp:simplePos x="0" y="0"/>
            <wp:positionH relativeFrom="column">
              <wp:posOffset>758190</wp:posOffset>
            </wp:positionH>
            <wp:positionV relativeFrom="paragraph">
              <wp:posOffset>125730</wp:posOffset>
            </wp:positionV>
            <wp:extent cx="4095750" cy="2447925"/>
            <wp:effectExtent l="0" t="0" r="0" b="9525"/>
            <wp:wrapSquare wrapText="bothSides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F97CCD8B-BAFB-4648-8629-D7653D0E72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25CD5" w14:textId="0860AEDE" w:rsidR="00B56937" w:rsidRDefault="00B56937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</w:rPr>
      </w:pPr>
    </w:p>
    <w:p w14:paraId="6101464F" w14:textId="64327355" w:rsidR="00E11EA8" w:rsidRDefault="00E11EA8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</w:rPr>
      </w:pPr>
    </w:p>
    <w:p w14:paraId="742EEB8C" w14:textId="5EC2C885" w:rsidR="00E11EA8" w:rsidRDefault="00E11EA8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</w:rPr>
      </w:pPr>
    </w:p>
    <w:p w14:paraId="340A3D75" w14:textId="77777777" w:rsidR="00E11EA8" w:rsidRPr="00E53A9A" w:rsidRDefault="00E11EA8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</w:rPr>
      </w:pPr>
    </w:p>
    <w:p w14:paraId="7153E2C5" w14:textId="51ED7173" w:rsidR="00B56937" w:rsidRPr="00E53A9A" w:rsidRDefault="00B56937" w:rsidP="00100ACF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</w:rPr>
      </w:pPr>
      <w:r w:rsidRPr="00E53A9A">
        <w:rPr>
          <w:rFonts w:ascii="Nirmala UI" w:hAnsi="Nirmala UI" w:cs="Nirmala UI"/>
          <w:noProof/>
        </w:rPr>
        <w:drawing>
          <wp:inline distT="0" distB="0" distL="0" distR="0" wp14:anchorId="1D2623AB" wp14:editId="4EFE37BD">
            <wp:extent cx="4095750" cy="24384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5D06267-7437-436C-A56D-96A506C31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7768541" w14:textId="77777777" w:rsidR="00E621FE" w:rsidRDefault="00E621FE"/>
    <w:tbl>
      <w:tblPr>
        <w:tblStyle w:val="Tablaconcuadrcula2-nfasis1"/>
        <w:tblW w:w="7400" w:type="dxa"/>
        <w:jc w:val="center"/>
        <w:tblLook w:val="04A0" w:firstRow="1" w:lastRow="0" w:firstColumn="1" w:lastColumn="0" w:noHBand="0" w:noVBand="1"/>
      </w:tblPr>
      <w:tblGrid>
        <w:gridCol w:w="1200"/>
        <w:gridCol w:w="1400"/>
        <w:gridCol w:w="1200"/>
        <w:gridCol w:w="1200"/>
        <w:gridCol w:w="1200"/>
        <w:gridCol w:w="1200"/>
      </w:tblGrid>
      <w:tr w:rsidR="00E621FE" w:rsidRPr="00E621FE" w14:paraId="14C262A3" w14:textId="77777777" w:rsidTr="00E62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938D5E" w14:textId="77777777" w:rsidR="00E621FE" w:rsidRPr="00E621FE" w:rsidRDefault="00E621FE" w:rsidP="00E62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400" w:type="dxa"/>
            <w:shd w:val="clear" w:color="auto" w:fill="0070C0"/>
            <w:noWrap/>
            <w:hideMark/>
          </w:tcPr>
          <w:p w14:paraId="43A34ED4" w14:textId="77777777" w:rsidR="00E621FE" w:rsidRPr="00E621FE" w:rsidRDefault="00E621FE" w:rsidP="00E62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FFFFFF" w:themeColor="background1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FFFFFF" w:themeColor="background1"/>
                <w:sz w:val="20"/>
                <w:szCs w:val="20"/>
                <w:lang w:eastAsia="es-CL"/>
              </w:rPr>
              <w:t>Alimentos</w:t>
            </w:r>
          </w:p>
        </w:tc>
        <w:tc>
          <w:tcPr>
            <w:tcW w:w="1200" w:type="dxa"/>
            <w:shd w:val="clear" w:color="auto" w:fill="0070C0"/>
            <w:hideMark/>
          </w:tcPr>
          <w:p w14:paraId="6B13E245" w14:textId="77777777" w:rsidR="00E621FE" w:rsidRPr="00E621FE" w:rsidRDefault="00E621FE" w:rsidP="00E62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FFFFFF" w:themeColor="background1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FFFFFF" w:themeColor="background1"/>
                <w:sz w:val="20"/>
                <w:szCs w:val="20"/>
                <w:lang w:eastAsia="es-CL"/>
              </w:rPr>
              <w:t>Abarrotes no Alimentos</w:t>
            </w:r>
          </w:p>
        </w:tc>
        <w:tc>
          <w:tcPr>
            <w:tcW w:w="1200" w:type="dxa"/>
            <w:shd w:val="clear" w:color="auto" w:fill="0070C0"/>
            <w:hideMark/>
          </w:tcPr>
          <w:p w14:paraId="74DC674D" w14:textId="77777777" w:rsidR="00E621FE" w:rsidRPr="00E621FE" w:rsidRDefault="00E621FE" w:rsidP="00E62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FFFFFF" w:themeColor="background1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FFFFFF" w:themeColor="background1"/>
                <w:sz w:val="20"/>
                <w:szCs w:val="20"/>
                <w:lang w:eastAsia="es-CL"/>
              </w:rPr>
              <w:t>Abarrotes Perecibles</w:t>
            </w:r>
          </w:p>
        </w:tc>
        <w:tc>
          <w:tcPr>
            <w:tcW w:w="1200" w:type="dxa"/>
            <w:shd w:val="clear" w:color="auto" w:fill="0070C0"/>
            <w:hideMark/>
          </w:tcPr>
          <w:p w14:paraId="4673E717" w14:textId="77777777" w:rsidR="00E621FE" w:rsidRPr="00E621FE" w:rsidRDefault="00E621FE" w:rsidP="00E62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FFFFFF" w:themeColor="background1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FFFFFF" w:themeColor="background1"/>
                <w:sz w:val="20"/>
                <w:szCs w:val="20"/>
                <w:lang w:eastAsia="es-CL"/>
              </w:rPr>
              <w:t>Bebidas, Cervezas y Licores</w:t>
            </w:r>
          </w:p>
        </w:tc>
        <w:tc>
          <w:tcPr>
            <w:tcW w:w="1200" w:type="dxa"/>
            <w:shd w:val="clear" w:color="auto" w:fill="0070C0"/>
            <w:hideMark/>
          </w:tcPr>
          <w:p w14:paraId="67752968" w14:textId="77777777" w:rsidR="00E621FE" w:rsidRPr="00E621FE" w:rsidRDefault="00E621FE" w:rsidP="00E62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FFFFFF" w:themeColor="background1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FFFFFF" w:themeColor="background1"/>
                <w:sz w:val="20"/>
                <w:szCs w:val="20"/>
                <w:lang w:eastAsia="es-CL"/>
              </w:rPr>
              <w:t>Higiene y Belleza</w:t>
            </w:r>
          </w:p>
        </w:tc>
      </w:tr>
      <w:tr w:rsidR="00E621FE" w:rsidRPr="00E621FE" w14:paraId="1A2DA701" w14:textId="77777777" w:rsidTr="00E62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0070C0"/>
            <w:noWrap/>
            <w:hideMark/>
          </w:tcPr>
          <w:p w14:paraId="004EB141" w14:textId="77777777" w:rsidR="00E621FE" w:rsidRPr="00E621FE" w:rsidRDefault="00E621FE" w:rsidP="00E621FE">
            <w:pPr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</w:pPr>
            <w:r w:rsidRPr="00E621FE"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t>Enero</w:t>
            </w:r>
          </w:p>
        </w:tc>
        <w:tc>
          <w:tcPr>
            <w:tcW w:w="1400" w:type="dxa"/>
            <w:noWrap/>
            <w:hideMark/>
          </w:tcPr>
          <w:p w14:paraId="65F2BA44" w14:textId="77777777" w:rsidR="00E621FE" w:rsidRPr="00E621FE" w:rsidRDefault="00E621FE" w:rsidP="00E62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9,4</w:t>
            </w:r>
          </w:p>
        </w:tc>
        <w:tc>
          <w:tcPr>
            <w:tcW w:w="1200" w:type="dxa"/>
            <w:noWrap/>
            <w:hideMark/>
          </w:tcPr>
          <w:p w14:paraId="2BE0B0A0" w14:textId="77777777" w:rsidR="00E621FE" w:rsidRPr="00E621FE" w:rsidRDefault="00E621FE" w:rsidP="00E62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12,5</w:t>
            </w:r>
          </w:p>
        </w:tc>
        <w:tc>
          <w:tcPr>
            <w:tcW w:w="1200" w:type="dxa"/>
            <w:noWrap/>
            <w:hideMark/>
          </w:tcPr>
          <w:p w14:paraId="65E4BDE5" w14:textId="77777777" w:rsidR="00E621FE" w:rsidRPr="00E621FE" w:rsidRDefault="00E621FE" w:rsidP="00E62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8,9</w:t>
            </w:r>
          </w:p>
        </w:tc>
        <w:tc>
          <w:tcPr>
            <w:tcW w:w="1200" w:type="dxa"/>
            <w:noWrap/>
            <w:hideMark/>
          </w:tcPr>
          <w:p w14:paraId="1355D6E1" w14:textId="77777777" w:rsidR="00E621FE" w:rsidRPr="00E621FE" w:rsidRDefault="00E621FE" w:rsidP="00E62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12,6</w:t>
            </w:r>
          </w:p>
        </w:tc>
        <w:tc>
          <w:tcPr>
            <w:tcW w:w="1200" w:type="dxa"/>
            <w:noWrap/>
            <w:hideMark/>
          </w:tcPr>
          <w:p w14:paraId="5F2143AA" w14:textId="77777777" w:rsidR="00E621FE" w:rsidRPr="00E621FE" w:rsidRDefault="00E621FE" w:rsidP="00E62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0,6</w:t>
            </w:r>
          </w:p>
        </w:tc>
      </w:tr>
      <w:tr w:rsidR="00E621FE" w:rsidRPr="00E621FE" w14:paraId="51E3F6A6" w14:textId="77777777" w:rsidTr="00E621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0070C0"/>
            <w:noWrap/>
            <w:hideMark/>
          </w:tcPr>
          <w:p w14:paraId="646C8776" w14:textId="77777777" w:rsidR="00E621FE" w:rsidRPr="00E621FE" w:rsidRDefault="00E621FE" w:rsidP="00E621FE">
            <w:pPr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</w:pPr>
            <w:r w:rsidRPr="00E621FE"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t>Febrero</w:t>
            </w:r>
          </w:p>
        </w:tc>
        <w:tc>
          <w:tcPr>
            <w:tcW w:w="1400" w:type="dxa"/>
            <w:noWrap/>
            <w:hideMark/>
          </w:tcPr>
          <w:p w14:paraId="32959941" w14:textId="77777777" w:rsidR="00E621FE" w:rsidRPr="00E621FE" w:rsidRDefault="00E621FE" w:rsidP="00E62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9,5</w:t>
            </w:r>
          </w:p>
        </w:tc>
        <w:tc>
          <w:tcPr>
            <w:tcW w:w="1200" w:type="dxa"/>
            <w:noWrap/>
            <w:hideMark/>
          </w:tcPr>
          <w:p w14:paraId="30250EDB" w14:textId="77777777" w:rsidR="00E621FE" w:rsidRPr="00E621FE" w:rsidRDefault="00E621FE" w:rsidP="00E62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7,8</w:t>
            </w:r>
          </w:p>
        </w:tc>
        <w:tc>
          <w:tcPr>
            <w:tcW w:w="1200" w:type="dxa"/>
            <w:noWrap/>
            <w:hideMark/>
          </w:tcPr>
          <w:p w14:paraId="18B7C2E6" w14:textId="77777777" w:rsidR="00E621FE" w:rsidRPr="00E621FE" w:rsidRDefault="00E621FE" w:rsidP="00E62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13,3</w:t>
            </w:r>
          </w:p>
        </w:tc>
        <w:tc>
          <w:tcPr>
            <w:tcW w:w="1200" w:type="dxa"/>
            <w:noWrap/>
            <w:hideMark/>
          </w:tcPr>
          <w:p w14:paraId="5CBCB523" w14:textId="77777777" w:rsidR="00E621FE" w:rsidRPr="00E621FE" w:rsidRDefault="00E621FE" w:rsidP="00E62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19,9</w:t>
            </w:r>
          </w:p>
        </w:tc>
        <w:tc>
          <w:tcPr>
            <w:tcW w:w="1200" w:type="dxa"/>
            <w:noWrap/>
            <w:hideMark/>
          </w:tcPr>
          <w:p w14:paraId="4E7DF9C6" w14:textId="77777777" w:rsidR="00E621FE" w:rsidRPr="00E621FE" w:rsidRDefault="00E621FE" w:rsidP="00E62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13,9</w:t>
            </w:r>
          </w:p>
        </w:tc>
      </w:tr>
      <w:tr w:rsidR="00E621FE" w:rsidRPr="00E621FE" w14:paraId="3B2B43AB" w14:textId="77777777" w:rsidTr="00E62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0070C0"/>
            <w:noWrap/>
            <w:hideMark/>
          </w:tcPr>
          <w:p w14:paraId="317A105A" w14:textId="77777777" w:rsidR="00E621FE" w:rsidRPr="00E621FE" w:rsidRDefault="00E621FE" w:rsidP="00E621FE">
            <w:pPr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</w:pPr>
            <w:r w:rsidRPr="00E621FE"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t>Marzo</w:t>
            </w:r>
          </w:p>
        </w:tc>
        <w:tc>
          <w:tcPr>
            <w:tcW w:w="1400" w:type="dxa"/>
            <w:noWrap/>
            <w:hideMark/>
          </w:tcPr>
          <w:p w14:paraId="32D22290" w14:textId="77777777" w:rsidR="00E621FE" w:rsidRPr="00E621FE" w:rsidRDefault="00E621FE" w:rsidP="00E62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4284CE4C" w14:textId="77777777" w:rsidR="00E621FE" w:rsidRPr="00E621FE" w:rsidRDefault="00E621FE" w:rsidP="00E62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10,8</w:t>
            </w:r>
          </w:p>
        </w:tc>
        <w:tc>
          <w:tcPr>
            <w:tcW w:w="1200" w:type="dxa"/>
            <w:noWrap/>
            <w:hideMark/>
          </w:tcPr>
          <w:p w14:paraId="7BEB073B" w14:textId="77777777" w:rsidR="00E621FE" w:rsidRPr="00E621FE" w:rsidRDefault="00E621FE" w:rsidP="00E62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11,6</w:t>
            </w:r>
          </w:p>
        </w:tc>
        <w:tc>
          <w:tcPr>
            <w:tcW w:w="1200" w:type="dxa"/>
            <w:noWrap/>
            <w:hideMark/>
          </w:tcPr>
          <w:p w14:paraId="02816989" w14:textId="77777777" w:rsidR="00E621FE" w:rsidRPr="00E621FE" w:rsidRDefault="00E621FE" w:rsidP="00E62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17,7</w:t>
            </w:r>
          </w:p>
        </w:tc>
        <w:tc>
          <w:tcPr>
            <w:tcW w:w="1200" w:type="dxa"/>
            <w:noWrap/>
            <w:hideMark/>
          </w:tcPr>
          <w:p w14:paraId="39BA4D10" w14:textId="77777777" w:rsidR="00E621FE" w:rsidRPr="00E621FE" w:rsidRDefault="00E621FE" w:rsidP="00E62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s-CL"/>
              </w:rPr>
              <w:t>5,8</w:t>
            </w:r>
          </w:p>
        </w:tc>
      </w:tr>
      <w:tr w:rsidR="00E621FE" w:rsidRPr="00E621FE" w14:paraId="3FA0811C" w14:textId="77777777" w:rsidTr="00E621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002060"/>
            <w:noWrap/>
            <w:hideMark/>
          </w:tcPr>
          <w:p w14:paraId="05CFD456" w14:textId="77777777" w:rsidR="00E621FE" w:rsidRPr="00E621FE" w:rsidRDefault="00E621FE" w:rsidP="00E621FE">
            <w:pPr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</w:pPr>
            <w:r w:rsidRPr="00E621FE"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t>Promedio</w:t>
            </w:r>
          </w:p>
        </w:tc>
        <w:tc>
          <w:tcPr>
            <w:tcW w:w="1400" w:type="dxa"/>
            <w:shd w:val="clear" w:color="auto" w:fill="002060"/>
            <w:noWrap/>
            <w:hideMark/>
          </w:tcPr>
          <w:p w14:paraId="11119939" w14:textId="77777777" w:rsidR="00E621FE" w:rsidRPr="00E621FE" w:rsidRDefault="00E621FE" w:rsidP="00E62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9,6</w:t>
            </w:r>
          </w:p>
        </w:tc>
        <w:tc>
          <w:tcPr>
            <w:tcW w:w="1200" w:type="dxa"/>
            <w:shd w:val="clear" w:color="auto" w:fill="002060"/>
            <w:noWrap/>
            <w:hideMark/>
          </w:tcPr>
          <w:p w14:paraId="6B2FD91A" w14:textId="77777777" w:rsidR="00E621FE" w:rsidRPr="00E621FE" w:rsidRDefault="00E621FE" w:rsidP="00E62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10,4</w:t>
            </w:r>
          </w:p>
        </w:tc>
        <w:tc>
          <w:tcPr>
            <w:tcW w:w="1200" w:type="dxa"/>
            <w:shd w:val="clear" w:color="auto" w:fill="002060"/>
            <w:noWrap/>
            <w:hideMark/>
          </w:tcPr>
          <w:p w14:paraId="25A89988" w14:textId="77777777" w:rsidR="00E621FE" w:rsidRPr="00E621FE" w:rsidRDefault="00E621FE" w:rsidP="00E62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11,3</w:t>
            </w:r>
          </w:p>
        </w:tc>
        <w:tc>
          <w:tcPr>
            <w:tcW w:w="1200" w:type="dxa"/>
            <w:shd w:val="clear" w:color="auto" w:fill="002060"/>
            <w:noWrap/>
            <w:hideMark/>
          </w:tcPr>
          <w:p w14:paraId="5016BD36" w14:textId="77777777" w:rsidR="00E621FE" w:rsidRPr="00E621FE" w:rsidRDefault="00E621FE" w:rsidP="00E62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16,7</w:t>
            </w:r>
          </w:p>
        </w:tc>
        <w:tc>
          <w:tcPr>
            <w:tcW w:w="1200" w:type="dxa"/>
            <w:shd w:val="clear" w:color="auto" w:fill="002060"/>
            <w:noWrap/>
            <w:hideMark/>
          </w:tcPr>
          <w:p w14:paraId="1365B369" w14:textId="77777777" w:rsidR="00E621FE" w:rsidRPr="00E621FE" w:rsidRDefault="00E621FE" w:rsidP="00E62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E621FE">
              <w:rPr>
                <w:rFonts w:ascii="Nirmala UI" w:eastAsia="Times New Roman" w:hAnsi="Nirmala UI" w:cs="Nirmala UI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6,8</w:t>
            </w:r>
          </w:p>
        </w:tc>
      </w:tr>
    </w:tbl>
    <w:p w14:paraId="057C6499" w14:textId="3C48EE48" w:rsidR="006C6286" w:rsidRPr="00784077" w:rsidRDefault="00784077" w:rsidP="00784077">
      <w:pPr>
        <w:ind w:left="708"/>
        <w:rPr>
          <w:i/>
          <w:iCs/>
        </w:rPr>
      </w:pPr>
      <w:r w:rsidRPr="00784077">
        <w:rPr>
          <w:rFonts w:ascii="Nirmala UI" w:hAnsi="Nirmala UI" w:cs="Nirmala UI"/>
          <w:i/>
          <w:iCs/>
          <w:sz w:val="21"/>
          <w:szCs w:val="21"/>
        </w:rPr>
        <w:t>*</w:t>
      </w:r>
      <w:r w:rsidR="006C6286" w:rsidRPr="00784077">
        <w:rPr>
          <w:rFonts w:ascii="Nirmala UI" w:hAnsi="Nirmala UI" w:cs="Nirmala UI"/>
          <w:i/>
          <w:iCs/>
          <w:sz w:val="21"/>
          <w:szCs w:val="21"/>
        </w:rPr>
        <w:t>Cabe destacar que los porcentajes de variación representan la variación porcentual entre el mismo mes de cada año.</w:t>
      </w:r>
    </w:p>
    <w:p w14:paraId="7B2CEC91" w14:textId="77777777" w:rsidR="006C6286" w:rsidRDefault="006C6286"/>
    <w:sectPr w:rsidR="006C6286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1EA3" w14:textId="77777777" w:rsidR="00790B5C" w:rsidRDefault="00790B5C" w:rsidP="00474DB8">
      <w:pPr>
        <w:spacing w:after="0" w:line="240" w:lineRule="auto"/>
      </w:pPr>
      <w:r>
        <w:separator/>
      </w:r>
    </w:p>
  </w:endnote>
  <w:endnote w:type="continuationSeparator" w:id="0">
    <w:p w14:paraId="4568EECF" w14:textId="77777777" w:rsidR="00790B5C" w:rsidRDefault="00790B5C" w:rsidP="00474DB8">
      <w:pPr>
        <w:spacing w:after="0" w:line="240" w:lineRule="auto"/>
      </w:pPr>
      <w:r>
        <w:continuationSeparator/>
      </w:r>
    </w:p>
  </w:endnote>
  <w:endnote w:type="continuationNotice" w:id="1">
    <w:p w14:paraId="03CFCDBA" w14:textId="77777777" w:rsidR="00790B5C" w:rsidRDefault="00790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612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A2AC8" w14:textId="153EAFDC" w:rsidR="00696429" w:rsidRDefault="0069642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4824BF" w14:textId="77777777" w:rsidR="00696429" w:rsidRDefault="00696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FA57" w14:textId="77777777" w:rsidR="00790B5C" w:rsidRDefault="00790B5C" w:rsidP="00474DB8">
      <w:pPr>
        <w:spacing w:after="0" w:line="240" w:lineRule="auto"/>
      </w:pPr>
      <w:r>
        <w:separator/>
      </w:r>
    </w:p>
  </w:footnote>
  <w:footnote w:type="continuationSeparator" w:id="0">
    <w:p w14:paraId="32537C77" w14:textId="77777777" w:rsidR="00790B5C" w:rsidRDefault="00790B5C" w:rsidP="00474DB8">
      <w:pPr>
        <w:spacing w:after="0" w:line="240" w:lineRule="auto"/>
      </w:pPr>
      <w:r>
        <w:continuationSeparator/>
      </w:r>
    </w:p>
  </w:footnote>
  <w:footnote w:type="continuationNotice" w:id="1">
    <w:p w14:paraId="2A61D494" w14:textId="77777777" w:rsidR="00790B5C" w:rsidRDefault="00790B5C">
      <w:pPr>
        <w:spacing w:after="0" w:line="240" w:lineRule="auto"/>
      </w:pPr>
    </w:p>
  </w:footnote>
  <w:footnote w:id="2">
    <w:p w14:paraId="13C2E587" w14:textId="410D8805" w:rsidR="00474DB8" w:rsidRPr="00474DB8" w:rsidRDefault="00474DB8" w:rsidP="00474DB8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b/>
          <w:bCs/>
          <w:sz w:val="18"/>
          <w:szCs w:val="18"/>
        </w:rPr>
      </w:pPr>
      <w:r w:rsidRPr="00474DB8">
        <w:rPr>
          <w:rStyle w:val="Refdenotaalpie"/>
          <w:sz w:val="18"/>
          <w:szCs w:val="18"/>
        </w:rPr>
        <w:footnoteRef/>
      </w:r>
      <w:r w:rsidRPr="00474DB8">
        <w:rPr>
          <w:sz w:val="18"/>
          <w:szCs w:val="18"/>
        </w:rPr>
        <w:t xml:space="preserve"> </w:t>
      </w:r>
      <w:r w:rsidRPr="00474DB8">
        <w:rPr>
          <w:rFonts w:ascii="Nirmala UI" w:hAnsi="Nirmala UI" w:cs="Nirmala UI"/>
          <w:sz w:val="18"/>
          <w:szCs w:val="18"/>
        </w:rPr>
        <w:t>La AGIP - que opera desde hace más de 20 años y que comenzó con 15 socios- agrupa a empresas proveedoras de los rubros de alimentos, artículos de limpieza de hogar, bebidas, cervezas y licores, artículos de higiene y belleza personal. Para más información, visite</w:t>
      </w:r>
      <w:r w:rsidRPr="00474DB8">
        <w:rPr>
          <w:rFonts w:ascii="Nirmala UI" w:hAnsi="Nirmala UI" w:cs="Nirmala UI"/>
          <w:i/>
          <w:iCs/>
          <w:sz w:val="18"/>
          <w:szCs w:val="18"/>
        </w:rPr>
        <w:t xml:space="preserve"> </w:t>
      </w:r>
      <w:hyperlink r:id="rId1" w:history="1">
        <w:r w:rsidRPr="00474DB8">
          <w:rPr>
            <w:rStyle w:val="Hipervnculo"/>
            <w:rFonts w:ascii="Nirmala UI" w:hAnsi="Nirmala UI" w:cs="Nirmala UI"/>
            <w:i/>
            <w:iCs/>
            <w:sz w:val="18"/>
            <w:szCs w:val="18"/>
          </w:rPr>
          <w:t>www.agipchile.cl</w:t>
        </w:r>
      </w:hyperlink>
    </w:p>
    <w:p w14:paraId="5A15627D" w14:textId="36EC3925" w:rsidR="00474DB8" w:rsidRDefault="00474DB8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CF8"/>
    <w:multiLevelType w:val="hybridMultilevel"/>
    <w:tmpl w:val="C132315E"/>
    <w:lvl w:ilvl="0" w:tplc="C7C0B7F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8718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37"/>
    <w:rsid w:val="00042BCA"/>
    <w:rsid w:val="000F7B32"/>
    <w:rsid w:val="00100ACF"/>
    <w:rsid w:val="00172389"/>
    <w:rsid w:val="00174752"/>
    <w:rsid w:val="00176C19"/>
    <w:rsid w:val="00197520"/>
    <w:rsid w:val="001A3DCB"/>
    <w:rsid w:val="001E0614"/>
    <w:rsid w:val="001E1018"/>
    <w:rsid w:val="00233AC4"/>
    <w:rsid w:val="00245860"/>
    <w:rsid w:val="00247879"/>
    <w:rsid w:val="00250146"/>
    <w:rsid w:val="0025645D"/>
    <w:rsid w:val="002A2D5F"/>
    <w:rsid w:val="002A673E"/>
    <w:rsid w:val="002B3585"/>
    <w:rsid w:val="003123BB"/>
    <w:rsid w:val="003458E7"/>
    <w:rsid w:val="003706B5"/>
    <w:rsid w:val="00382B80"/>
    <w:rsid w:val="003A63C7"/>
    <w:rsid w:val="003B19F6"/>
    <w:rsid w:val="003B5375"/>
    <w:rsid w:val="003D7BC7"/>
    <w:rsid w:val="003F5E25"/>
    <w:rsid w:val="0043356E"/>
    <w:rsid w:val="004355D8"/>
    <w:rsid w:val="00460B43"/>
    <w:rsid w:val="00472087"/>
    <w:rsid w:val="00472FC1"/>
    <w:rsid w:val="00474DB8"/>
    <w:rsid w:val="004773DF"/>
    <w:rsid w:val="004B2BF4"/>
    <w:rsid w:val="004D5101"/>
    <w:rsid w:val="004F1949"/>
    <w:rsid w:val="00506CD2"/>
    <w:rsid w:val="00560D82"/>
    <w:rsid w:val="00561786"/>
    <w:rsid w:val="00565203"/>
    <w:rsid w:val="00572445"/>
    <w:rsid w:val="00574616"/>
    <w:rsid w:val="00584A3D"/>
    <w:rsid w:val="005E372A"/>
    <w:rsid w:val="00632AB1"/>
    <w:rsid w:val="00655746"/>
    <w:rsid w:val="00656528"/>
    <w:rsid w:val="00696429"/>
    <w:rsid w:val="006C4E95"/>
    <w:rsid w:val="006C6286"/>
    <w:rsid w:val="006C7B25"/>
    <w:rsid w:val="006F0451"/>
    <w:rsid w:val="006F09A5"/>
    <w:rsid w:val="00700039"/>
    <w:rsid w:val="00743403"/>
    <w:rsid w:val="00747388"/>
    <w:rsid w:val="00784077"/>
    <w:rsid w:val="00790B5C"/>
    <w:rsid w:val="007D2C53"/>
    <w:rsid w:val="007E5587"/>
    <w:rsid w:val="007F342A"/>
    <w:rsid w:val="00833FF1"/>
    <w:rsid w:val="00854F49"/>
    <w:rsid w:val="00866ECF"/>
    <w:rsid w:val="008A7539"/>
    <w:rsid w:val="008D4679"/>
    <w:rsid w:val="008E370F"/>
    <w:rsid w:val="009000AB"/>
    <w:rsid w:val="00900A6A"/>
    <w:rsid w:val="00934276"/>
    <w:rsid w:val="00945ACD"/>
    <w:rsid w:val="0095487F"/>
    <w:rsid w:val="009861B9"/>
    <w:rsid w:val="009948A9"/>
    <w:rsid w:val="00995992"/>
    <w:rsid w:val="009B04A4"/>
    <w:rsid w:val="00A02BDC"/>
    <w:rsid w:val="00A23D2D"/>
    <w:rsid w:val="00A300A7"/>
    <w:rsid w:val="00A65BB1"/>
    <w:rsid w:val="00A71729"/>
    <w:rsid w:val="00A81674"/>
    <w:rsid w:val="00A84ACE"/>
    <w:rsid w:val="00A95BDF"/>
    <w:rsid w:val="00AA5C10"/>
    <w:rsid w:val="00AB4823"/>
    <w:rsid w:val="00AE3D76"/>
    <w:rsid w:val="00B06B69"/>
    <w:rsid w:val="00B46229"/>
    <w:rsid w:val="00B560EA"/>
    <w:rsid w:val="00B56937"/>
    <w:rsid w:val="00B8479E"/>
    <w:rsid w:val="00B95BC3"/>
    <w:rsid w:val="00B96E23"/>
    <w:rsid w:val="00C01A27"/>
    <w:rsid w:val="00C127F6"/>
    <w:rsid w:val="00C25243"/>
    <w:rsid w:val="00C274FE"/>
    <w:rsid w:val="00C33BC0"/>
    <w:rsid w:val="00C54933"/>
    <w:rsid w:val="00C66D33"/>
    <w:rsid w:val="00C86EF0"/>
    <w:rsid w:val="00C955AF"/>
    <w:rsid w:val="00CC7E7C"/>
    <w:rsid w:val="00D152A7"/>
    <w:rsid w:val="00D4326F"/>
    <w:rsid w:val="00D83F76"/>
    <w:rsid w:val="00D84C9B"/>
    <w:rsid w:val="00DE0FC2"/>
    <w:rsid w:val="00E03706"/>
    <w:rsid w:val="00E066B9"/>
    <w:rsid w:val="00E11EA8"/>
    <w:rsid w:val="00E21BA9"/>
    <w:rsid w:val="00E35E6D"/>
    <w:rsid w:val="00E45D64"/>
    <w:rsid w:val="00E51EFE"/>
    <w:rsid w:val="00E53A9A"/>
    <w:rsid w:val="00E621FE"/>
    <w:rsid w:val="00E67BAB"/>
    <w:rsid w:val="00E86B81"/>
    <w:rsid w:val="00EB6424"/>
    <w:rsid w:val="00ED0F98"/>
    <w:rsid w:val="00EF1CCD"/>
    <w:rsid w:val="00F04110"/>
    <w:rsid w:val="00F50C3B"/>
    <w:rsid w:val="00F56229"/>
    <w:rsid w:val="00F60745"/>
    <w:rsid w:val="00F6577A"/>
    <w:rsid w:val="00F86431"/>
    <w:rsid w:val="00FA7DC3"/>
    <w:rsid w:val="00FB1ED3"/>
    <w:rsid w:val="00FC6A84"/>
    <w:rsid w:val="00FE18E7"/>
    <w:rsid w:val="00FF1747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95C30"/>
  <w15:chartTrackingRefBased/>
  <w15:docId w15:val="{342BE79B-7D79-4D5F-9DDC-791396E3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5">
    <w:name w:val="Grid Table 5 Dark Accent 5"/>
    <w:basedOn w:val="Tablanormal"/>
    <w:uiPriority w:val="50"/>
    <w:rsid w:val="00E53A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53A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3-nfasis5">
    <w:name w:val="Grid Table 3 Accent 5"/>
    <w:basedOn w:val="Tablanormal"/>
    <w:uiPriority w:val="48"/>
    <w:rsid w:val="00E53A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Textoindependiente2">
    <w:name w:val="Body Text 2"/>
    <w:basedOn w:val="Normal"/>
    <w:link w:val="Textoindependiente2Car"/>
    <w:rsid w:val="004B2BF4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B2BF4"/>
    <w:rPr>
      <w:rFonts w:ascii="Arial" w:eastAsia="Times New Roman" w:hAnsi="Arial" w:cs="Arial"/>
      <w:szCs w:val="24"/>
      <w:lang w:val="es-ES" w:eastAsia="es-ES"/>
    </w:rPr>
  </w:style>
  <w:style w:type="character" w:styleId="Hipervnculo">
    <w:name w:val="Hyperlink"/>
    <w:rsid w:val="004B2BF4"/>
    <w:rPr>
      <w:color w:val="0000FF"/>
      <w:u w:val="single"/>
    </w:rPr>
  </w:style>
  <w:style w:type="table" w:styleId="Tablaconcuadrcula2-nfasis5">
    <w:name w:val="Grid Table 2 Accent 5"/>
    <w:basedOn w:val="Tablanormal"/>
    <w:uiPriority w:val="47"/>
    <w:rsid w:val="0074340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2-nfasis1">
    <w:name w:val="Grid Table 2 Accent 1"/>
    <w:basedOn w:val="Tablanormal"/>
    <w:uiPriority w:val="47"/>
    <w:rsid w:val="00E621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74D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4D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4DB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56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229"/>
  </w:style>
  <w:style w:type="paragraph" w:styleId="Piedepgina">
    <w:name w:val="footer"/>
    <w:basedOn w:val="Normal"/>
    <w:link w:val="PiedepginaCar"/>
    <w:uiPriority w:val="99"/>
    <w:unhideWhenUsed/>
    <w:rsid w:val="00F56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229"/>
  </w:style>
  <w:style w:type="paragraph" w:styleId="Prrafodelista">
    <w:name w:val="List Paragraph"/>
    <w:basedOn w:val="Normal"/>
    <w:uiPriority w:val="34"/>
    <w:qFormat/>
    <w:rsid w:val="0078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ipchile.c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exooos-my.sharepoint.com/personal/aorpis_nexos_cl/Documents/indice%20agi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L" b="1">
                <a:solidFill>
                  <a:sysClr val="windowText" lastClr="000000"/>
                </a:solidFill>
              </a:rPr>
              <a:t>Evolución</a:t>
            </a:r>
            <a:r>
              <a:rPr lang="es-CL" b="1" baseline="0">
                <a:solidFill>
                  <a:sysClr val="windowText" lastClr="000000"/>
                </a:solidFill>
              </a:rPr>
              <a:t> Índice AGIP e Imacec</a:t>
            </a:r>
            <a:endParaRPr lang="es-CL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Hoja1!$B$22</c:f>
              <c:strCache>
                <c:ptCount val="1"/>
                <c:pt idx="0">
                  <c:v>Indice AGIP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Hoja1!$A$23:$A$37</c:f>
              <c:strCache>
                <c:ptCount val="15"/>
                <c:pt idx="0">
                  <c:v>En21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  <c:pt idx="12">
                  <c:v>En22</c:v>
                </c:pt>
                <c:pt idx="13">
                  <c:v>Feb</c:v>
                </c:pt>
                <c:pt idx="14">
                  <c:v>Mar</c:v>
                </c:pt>
              </c:strCache>
            </c:strRef>
          </c:cat>
          <c:val>
            <c:numRef>
              <c:f>Hoja1!$B$23:$B$37</c:f>
              <c:numCache>
                <c:formatCode>0.0</c:formatCode>
                <c:ptCount val="15"/>
                <c:pt idx="0">
                  <c:v>8.5</c:v>
                </c:pt>
                <c:pt idx="1">
                  <c:v>12.5</c:v>
                </c:pt>
                <c:pt idx="2">
                  <c:v>8.6999999999999993</c:v>
                </c:pt>
                <c:pt idx="3">
                  <c:v>23</c:v>
                </c:pt>
                <c:pt idx="4">
                  <c:v>18.5</c:v>
                </c:pt>
                <c:pt idx="5">
                  <c:v>21.4</c:v>
                </c:pt>
                <c:pt idx="6">
                  <c:v>24.9</c:v>
                </c:pt>
                <c:pt idx="7">
                  <c:v>17.2</c:v>
                </c:pt>
                <c:pt idx="8">
                  <c:v>14.3</c:v>
                </c:pt>
                <c:pt idx="9">
                  <c:v>13.9</c:v>
                </c:pt>
                <c:pt idx="10">
                  <c:v>17.894467733623767</c:v>
                </c:pt>
                <c:pt idx="11">
                  <c:v>9.6999999999999993</c:v>
                </c:pt>
                <c:pt idx="12">
                  <c:v>10.3</c:v>
                </c:pt>
                <c:pt idx="13">
                  <c:v>13.1</c:v>
                </c:pt>
                <c:pt idx="14">
                  <c:v>12.1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BF-4FCC-AA9C-30771744A341}"/>
            </c:ext>
          </c:extLst>
        </c:ser>
        <c:ser>
          <c:idx val="1"/>
          <c:order val="1"/>
          <c:tx>
            <c:strRef>
              <c:f>Hoja1!$C$22</c:f>
              <c:strCache>
                <c:ptCount val="1"/>
                <c:pt idx="0">
                  <c:v>Imacec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Hoja1!$A$23:$A$37</c:f>
              <c:strCache>
                <c:ptCount val="15"/>
                <c:pt idx="0">
                  <c:v>En21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  <c:pt idx="12">
                  <c:v>En22</c:v>
                </c:pt>
                <c:pt idx="13">
                  <c:v>Feb</c:v>
                </c:pt>
                <c:pt idx="14">
                  <c:v>Mar</c:v>
                </c:pt>
              </c:strCache>
            </c:strRef>
          </c:cat>
          <c:val>
            <c:numRef>
              <c:f>Hoja1!$C$23:$C$37</c:f>
              <c:numCache>
                <c:formatCode>0.0</c:formatCode>
                <c:ptCount val="15"/>
                <c:pt idx="0">
                  <c:v>-3.1</c:v>
                </c:pt>
                <c:pt idx="1">
                  <c:v>-2.2000000000000002</c:v>
                </c:pt>
                <c:pt idx="2">
                  <c:v>6.4</c:v>
                </c:pt>
                <c:pt idx="3">
                  <c:v>14.1</c:v>
                </c:pt>
                <c:pt idx="4">
                  <c:v>18.100000000000001</c:v>
                </c:pt>
                <c:pt idx="5">
                  <c:v>20.100000000000001</c:v>
                </c:pt>
                <c:pt idx="6">
                  <c:v>18</c:v>
                </c:pt>
                <c:pt idx="7">
                  <c:v>19</c:v>
                </c:pt>
                <c:pt idx="8">
                  <c:v>14.8</c:v>
                </c:pt>
                <c:pt idx="9">
                  <c:v>15</c:v>
                </c:pt>
                <c:pt idx="10">
                  <c:v>14.3</c:v>
                </c:pt>
                <c:pt idx="11">
                  <c:v>10</c:v>
                </c:pt>
                <c:pt idx="12">
                  <c:v>9</c:v>
                </c:pt>
                <c:pt idx="13">
                  <c:v>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BF-4FCC-AA9C-30771744A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4895224"/>
        <c:axId val="804893912"/>
      </c:lineChart>
      <c:catAx>
        <c:axId val="804895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804893912"/>
        <c:crosses val="autoZero"/>
        <c:auto val="1"/>
        <c:lblAlgn val="ctr"/>
        <c:lblOffset val="100"/>
        <c:noMultiLvlLbl val="0"/>
      </c:catAx>
      <c:valAx>
        <c:axId val="80489391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80489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L" b="1">
                <a:solidFill>
                  <a:sysClr val="windowText" lastClr="000000"/>
                </a:solidFill>
              </a:rPr>
              <a:t>Índice</a:t>
            </a:r>
            <a:r>
              <a:rPr lang="es-CL" b="1" baseline="0">
                <a:solidFill>
                  <a:sysClr val="windowText" lastClr="000000"/>
                </a:solidFill>
              </a:rPr>
              <a:t> de ventas AGIP 2021 y 2022</a:t>
            </a:r>
            <a:endParaRPr lang="es-CL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Índice AGIP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0.0</c:formatCode>
                <c:ptCount val="3"/>
                <c:pt idx="0">
                  <c:v>8.5</c:v>
                </c:pt>
                <c:pt idx="1">
                  <c:v>12.5</c:v>
                </c:pt>
                <c:pt idx="2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6C-4A2C-BA1C-BE2307F76B6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Índice AGIP 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0.0</c:formatCode>
                <c:ptCount val="3"/>
                <c:pt idx="0">
                  <c:v>10.3</c:v>
                </c:pt>
                <c:pt idx="1">
                  <c:v>13.1</c:v>
                </c:pt>
                <c:pt idx="2">
                  <c:v>12.1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6C-4A2C-BA1C-BE2307F76B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13617424"/>
        <c:axId val="1513608272"/>
      </c:barChart>
      <c:catAx>
        <c:axId val="151361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1513608272"/>
        <c:crosses val="autoZero"/>
        <c:auto val="1"/>
        <c:lblAlgn val="ctr"/>
        <c:lblOffset val="100"/>
        <c:noMultiLvlLbl val="0"/>
      </c:catAx>
      <c:valAx>
        <c:axId val="151360827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513617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CBDF2839C7A34BA32D537B3736C18D" ma:contentTypeVersion="12" ma:contentTypeDescription="Crear nuevo documento." ma:contentTypeScope="" ma:versionID="b892cb8e38f7af7640612404a0574aad">
  <xsd:schema xmlns:xsd="http://www.w3.org/2001/XMLSchema" xmlns:xs="http://www.w3.org/2001/XMLSchema" xmlns:p="http://schemas.microsoft.com/office/2006/metadata/properties" xmlns:ns3="8aac1063-753d-41af-a0d9-91c58dc4673d" xmlns:ns4="6439dcdf-58b8-4c88-8e20-0d5691a599ca" targetNamespace="http://schemas.microsoft.com/office/2006/metadata/properties" ma:root="true" ma:fieldsID="fc776f307d03b5df9813d63da2fd91bb" ns3:_="" ns4:_="">
    <xsd:import namespace="8aac1063-753d-41af-a0d9-91c58dc4673d"/>
    <xsd:import namespace="6439dcdf-58b8-4c88-8e20-0d5691a59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c1063-753d-41af-a0d9-91c58dc46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dcdf-58b8-4c88-8e20-0d5691a59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92FFE-376F-4A8A-B0D6-B30AD2F73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c1063-753d-41af-a0d9-91c58dc4673d"/>
    <ds:schemaRef ds:uri="6439dcdf-58b8-4c88-8e20-0d5691a59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7A5A8-9241-4A89-8353-B40EFA4168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90378E-C8BA-46E4-81D5-E7707883C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ac1063-753d-41af-a0d9-91c58dc4673d"/>
    <ds:schemaRef ds:uri="6439dcdf-58b8-4c88-8e20-0d5691a599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E55ACB-1335-489B-8046-ED7C0D60D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http://www.agipchile.cl/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Orpis</dc:creator>
  <cp:keywords/>
  <dc:description/>
  <cp:lastModifiedBy>Manuel Irarrazaval</cp:lastModifiedBy>
  <cp:revision>5</cp:revision>
  <cp:lastPrinted>2022-04-27T21:54:00Z</cp:lastPrinted>
  <dcterms:created xsi:type="dcterms:W3CDTF">2022-04-27T21:46:00Z</dcterms:created>
  <dcterms:modified xsi:type="dcterms:W3CDTF">2022-04-27T21:54:00Z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0x01010060CBDF2839C7A34BA32D537B3736C18D</vt:lpwstr>
  </property>
</Properties>
</file>