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9AB8" w14:textId="1583C9EE" w:rsidR="00B56937" w:rsidRPr="00E53A9A" w:rsidRDefault="00CC26B1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</w:pPr>
      <w:r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  <w:t>Í</w:t>
      </w:r>
      <w:r w:rsidR="00B56937" w:rsidRPr="00E53A9A"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  <w:t xml:space="preserve">ndice </w:t>
      </w:r>
      <w:r w:rsidR="008E370F"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  <w:t>Asociación Gremial de Industrias Proveedoras:</w:t>
      </w:r>
    </w:p>
    <w:p w14:paraId="0A6B7C95" w14:textId="77777777" w:rsidR="00B56937" w:rsidRPr="00E53A9A" w:rsidRDefault="00B56937" w:rsidP="00B56937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i/>
          <w:iCs/>
          <w:sz w:val="24"/>
          <w:szCs w:val="24"/>
          <w:lang w:eastAsia="es-CL"/>
        </w:rPr>
      </w:pPr>
    </w:p>
    <w:p w14:paraId="58971DCB" w14:textId="4B371968" w:rsidR="00B56937" w:rsidRDefault="00B56937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</w:pPr>
      <w:r w:rsidRPr="00E53A9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Ventas de la industria proveedora </w:t>
      </w:r>
      <w:r w:rsidR="00670B31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marcan </w:t>
      </w:r>
      <w:r w:rsidR="00DD0726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>el periodo más bajo de</w:t>
      </w:r>
      <w:r w:rsidR="0041505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>l año e</w:t>
      </w:r>
      <w:r w:rsidR="001226B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n </w:t>
      </w:r>
      <w:r w:rsidRPr="00E53A9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el </w:t>
      </w:r>
      <w:r w:rsidR="001A48D3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tercer </w:t>
      </w:r>
      <w:r w:rsidRPr="00E53A9A"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  <w:t xml:space="preserve">trimestre </w:t>
      </w:r>
    </w:p>
    <w:p w14:paraId="53E3D05F" w14:textId="77777777" w:rsidR="00523621" w:rsidRPr="00E53A9A" w:rsidRDefault="00523621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32"/>
          <w:szCs w:val="32"/>
          <w:lang w:eastAsia="es-CL"/>
        </w:rPr>
      </w:pPr>
    </w:p>
    <w:p w14:paraId="221EDD5F" w14:textId="2E721931" w:rsidR="00174752" w:rsidRPr="00C86EF0" w:rsidRDefault="00D73B16" w:rsidP="00840F21">
      <w:pPr>
        <w:shd w:val="clear" w:color="auto" w:fill="FFFFFF" w:themeFill="background1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Co</w:t>
      </w:r>
      <w:r w:rsidR="00AC0E7D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n un 4,9</w:t>
      </w:r>
      <w:r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% de crecimiento nominal, </w:t>
      </w:r>
      <w:r w:rsidR="00B56937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el </w:t>
      </w:r>
      <w:r w:rsidR="00C47BDA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último </w:t>
      </w:r>
      <w:r w:rsidR="00B56937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periodo fue impulsado </w:t>
      </w:r>
      <w:r w:rsidR="00E35E6D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principalmente por las ventas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de</w:t>
      </w:r>
      <w:r w:rsidR="00B56937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la categoría de </w:t>
      </w:r>
      <w:r w:rsidR="00EB2DE1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Abarrotes Perecibles.</w:t>
      </w:r>
      <w:r w:rsidR="0041307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0F5FB5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Los primeros </w:t>
      </w:r>
      <w:r w:rsidR="005C2661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tres </w:t>
      </w:r>
      <w:r w:rsidR="000F5FB5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meses del año se registró </w:t>
      </w:r>
      <w:r w:rsidR="00620445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un dinamismo de un </w:t>
      </w:r>
      <w:r w:rsidR="00413070" w:rsidRPr="00523621">
        <w:rPr>
          <w:rFonts w:ascii="Nirmala UI" w:hAnsi="Nirmala UI" w:cs="Nirmala UI"/>
          <w:i/>
          <w:iCs/>
          <w:sz w:val="21"/>
          <w:szCs w:val="21"/>
        </w:rPr>
        <w:t>11,8</w:t>
      </w:r>
      <w:r w:rsidR="00523621" w:rsidRPr="00523621">
        <w:rPr>
          <w:rFonts w:ascii="Nirmala UI" w:hAnsi="Nirmala UI" w:cs="Nirmala UI"/>
          <w:i/>
          <w:iCs/>
          <w:sz w:val="21"/>
          <w:szCs w:val="21"/>
        </w:rPr>
        <w:t xml:space="preserve">% </w:t>
      </w:r>
      <w:r w:rsidR="00523621">
        <w:rPr>
          <w:rFonts w:ascii="Nirmala UI" w:hAnsi="Nirmala UI" w:cs="Nirmala UI"/>
          <w:i/>
          <w:iCs/>
          <w:sz w:val="21"/>
          <w:szCs w:val="21"/>
        </w:rPr>
        <w:t xml:space="preserve">que posteriormente </w:t>
      </w:r>
      <w:r w:rsidR="00413070" w:rsidRPr="00523621">
        <w:rPr>
          <w:rFonts w:ascii="Nirmala UI" w:hAnsi="Nirmala UI" w:cs="Nirmala UI"/>
          <w:i/>
          <w:iCs/>
          <w:sz w:val="21"/>
          <w:szCs w:val="21"/>
        </w:rPr>
        <w:t>se redujo a un 6,3%</w:t>
      </w:r>
      <w:r w:rsidR="003D4A70">
        <w:rPr>
          <w:rFonts w:ascii="Nirmala UI" w:hAnsi="Nirmala UI" w:cs="Nirmala UI"/>
          <w:i/>
          <w:iCs/>
          <w:sz w:val="21"/>
          <w:szCs w:val="21"/>
        </w:rPr>
        <w:t xml:space="preserve"> </w:t>
      </w:r>
      <w:r w:rsidR="00413070" w:rsidRPr="00523621">
        <w:rPr>
          <w:rFonts w:ascii="Nirmala UI" w:hAnsi="Nirmala UI" w:cs="Nirmala UI"/>
          <w:i/>
          <w:iCs/>
          <w:sz w:val="21"/>
          <w:szCs w:val="21"/>
        </w:rPr>
        <w:t>para</w:t>
      </w:r>
      <w:r w:rsidR="00840F21">
        <w:rPr>
          <w:rFonts w:ascii="Nirmala UI" w:hAnsi="Nirmala UI" w:cs="Nirmala UI"/>
          <w:i/>
          <w:iCs/>
          <w:sz w:val="21"/>
          <w:szCs w:val="21"/>
        </w:rPr>
        <w:t xml:space="preserve"> el promedio de</w:t>
      </w:r>
      <w:r w:rsidR="00413070" w:rsidRPr="00523621">
        <w:rPr>
          <w:rFonts w:ascii="Nirmala UI" w:hAnsi="Nirmala UI" w:cs="Nirmala UI"/>
          <w:i/>
          <w:iCs/>
          <w:sz w:val="21"/>
          <w:szCs w:val="21"/>
        </w:rPr>
        <w:t xml:space="preserve"> los meses de abril, mayo y junio.</w:t>
      </w:r>
      <w:r w:rsidR="003D4A70">
        <w:rPr>
          <w:rFonts w:ascii="Nirmala UI" w:hAnsi="Nirmala UI" w:cs="Nirmala UI"/>
          <w:i/>
          <w:iCs/>
          <w:sz w:val="21"/>
          <w:szCs w:val="21"/>
        </w:rPr>
        <w:t xml:space="preserve"> </w:t>
      </w:r>
    </w:p>
    <w:p w14:paraId="6B69A19A" w14:textId="77777777" w:rsidR="00174752" w:rsidRPr="00C86EF0" w:rsidRDefault="00174752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</w:p>
    <w:p w14:paraId="2AF9A1B4" w14:textId="7BB76F79" w:rsidR="00B56937" w:rsidRPr="00C86EF0" w:rsidRDefault="00174752" w:rsidP="248DA91E">
      <w:pPr>
        <w:shd w:val="clear" w:color="auto" w:fill="FFFFFF" w:themeFill="background1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Para el resto del año el gremio proyecta un crecimiento más acotado </w:t>
      </w:r>
      <w:r w:rsidR="00042BCA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debido </w:t>
      </w:r>
      <w:r w:rsidR="00A7172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al alza 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que han experimentado l</w:t>
      </w:r>
      <w:r w:rsidR="00A51915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o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s</w:t>
      </w:r>
      <w:r w:rsidR="00A7172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A51915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costos de producción y </w:t>
      </w:r>
      <w:r w:rsidR="00A71729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materias primas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.</w:t>
      </w:r>
      <w:r w:rsidR="008A7539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Desde 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AGIP</w:t>
      </w:r>
      <w:r w:rsidR="00B655D9" w:rsidDel="006F6D9A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manifest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aron</w:t>
      </w:r>
      <w:r w:rsidR="00E03706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su preocupación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por </w:t>
      </w:r>
      <w:r w:rsidR="009B130F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la percepción pesimista de los consumidores sobre </w:t>
      </w:r>
      <w:r w:rsidR="00215A9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la estabilidad del país</w:t>
      </w:r>
      <w:r w:rsidR="00ED7D78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que se suma a </w:t>
      </w:r>
      <w:r w:rsidR="00A300A7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los efectos </w:t>
      </w:r>
      <w:r w:rsidR="003123B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en el nivel de precios, originados por 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la guerra en Europa</w:t>
      </w:r>
      <w:r w:rsidR="00BF620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, los</w:t>
      </w:r>
      <w:r w:rsidR="007D2C53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</w:t>
      </w:r>
      <w:r w:rsidR="00AA5C10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problemas </w:t>
      </w:r>
      <w:r w:rsidR="00C86EF0" w:rsidRPr="00C86EF0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logísticos</w:t>
      </w:r>
      <w:r w:rsidR="00BF620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y la</w:t>
      </w:r>
      <w:r w:rsidR="000230DB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 xml:space="preserve"> baja actividad económica</w:t>
      </w:r>
      <w:r w:rsidR="00B655D9"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t>.</w:t>
      </w:r>
    </w:p>
    <w:p w14:paraId="45BD5134" w14:textId="77777777" w:rsidR="00B56937" w:rsidRPr="00C86EF0" w:rsidRDefault="00DE69D6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</w:pPr>
      <w:r>
        <w:rPr>
          <w:rFonts w:ascii="Nirmala UI" w:eastAsia="Times New Roman" w:hAnsi="Nirmala UI" w:cs="Nirmala UI"/>
          <w:i/>
          <w:iCs/>
          <w:sz w:val="20"/>
          <w:szCs w:val="20"/>
          <w:lang w:eastAsia="es-CL"/>
        </w:rPr>
        <w:pict w14:anchorId="4CFBEE8E">
          <v:rect id="_x0000_i1025" style="width:0;height:1.5pt" o:hralign="center" o:hrstd="t" o:hr="t" fillcolor="#a0a0a0" stroked="f"/>
        </w:pict>
      </w:r>
    </w:p>
    <w:p w14:paraId="0AE1176E" w14:textId="77777777" w:rsidR="00B56937" w:rsidRPr="00E53A9A" w:rsidRDefault="00B56937" w:rsidP="00B5693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lang w:eastAsia="es-CL"/>
        </w:rPr>
      </w:pPr>
    </w:p>
    <w:p w14:paraId="1BF8E45C" w14:textId="482BD89E" w:rsidR="00656528" w:rsidRPr="00E621FE" w:rsidRDefault="00656528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>Las ventas de las principales empresas proveedoras, agrupadas en l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a Asociación Gremial de Industrias Proveedoras (AGIP</w:t>
      </w:r>
      <w:r w:rsidR="00474DB8">
        <w:rPr>
          <w:rStyle w:val="Refdenotaalpie"/>
          <w:rFonts w:ascii="Nirmala UI" w:eastAsia="Times New Roman" w:hAnsi="Nirmala UI" w:cs="Nirmala UI"/>
          <w:sz w:val="21"/>
          <w:szCs w:val="21"/>
          <w:lang w:eastAsia="es-CL"/>
        </w:rPr>
        <w:footnoteReference w:id="2"/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)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, alcanzaron </w:t>
      </w:r>
      <w:r w:rsidR="001E1018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durante el </w:t>
      </w:r>
      <w:r w:rsidR="005C3C62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tercer </w:t>
      </w:r>
      <w:r w:rsidR="001E1018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trimestre del año 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un crecimiento promedio en las ventas de un </w:t>
      </w:r>
      <w:r w:rsidR="005C3C62">
        <w:rPr>
          <w:rFonts w:ascii="Nirmala UI" w:eastAsia="Times New Roman" w:hAnsi="Nirmala UI" w:cs="Nirmala UI"/>
          <w:sz w:val="21"/>
          <w:szCs w:val="21"/>
          <w:lang w:eastAsia="es-CL"/>
        </w:rPr>
        <w:t>4,9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>% nominal en comparación al</w:t>
      </w:r>
      <w:r w:rsidR="003A63C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</w:t>
      </w:r>
      <w:r w:rsidR="00875805">
        <w:rPr>
          <w:rFonts w:ascii="Nirmala UI" w:eastAsia="Times New Roman" w:hAnsi="Nirmala UI" w:cs="Nirmala UI"/>
          <w:sz w:val="21"/>
          <w:szCs w:val="21"/>
          <w:lang w:eastAsia="es-CL"/>
        </w:rPr>
        <w:t>18,8</w:t>
      </w:r>
      <w:r w:rsidR="003A63C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% </w:t>
      </w:r>
      <w:r w:rsidR="00460B43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del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mismo periodo </w:t>
      </w:r>
      <w:r w:rsidR="00E1621C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en </w:t>
      </w: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>2021</w:t>
      </w:r>
      <w:r w:rsidR="00460B43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. </w:t>
      </w:r>
    </w:p>
    <w:p w14:paraId="1C00B62F" w14:textId="77777777" w:rsidR="00172389" w:rsidRPr="00E621FE" w:rsidRDefault="00172389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</w:p>
    <w:p w14:paraId="3E357BBD" w14:textId="4C20ECF0" w:rsidR="00B56937" w:rsidRPr="00E621FE" w:rsidRDefault="00172389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  <w:r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El índice </w:t>
      </w:r>
      <w:r w:rsidR="00B06B69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que mide la venta a los distintos canales de distribución nacional, tales como supermercados, tradicional, detallista, mayorista y horeca</w:t>
      </w:r>
      <w:r w:rsidR="001E1018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,</w:t>
      </w:r>
      <w:r w:rsidR="00B06B69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</w:t>
      </w:r>
      <w:r w:rsidR="003B19F6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evidencia que, d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urante el trimestre, </w:t>
      </w:r>
      <w:r w:rsidR="002B72C3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los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meses </w:t>
      </w:r>
      <w:r w:rsidR="002B72C3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considerados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observaron un </w:t>
      </w:r>
      <w:r w:rsidR="00263C4B">
        <w:rPr>
          <w:rFonts w:ascii="Nirmala UI" w:eastAsia="Times New Roman" w:hAnsi="Nirmala UI" w:cs="Nirmala UI"/>
          <w:sz w:val="21"/>
          <w:szCs w:val="21"/>
          <w:lang w:eastAsia="es-CL"/>
        </w:rPr>
        <w:t>menor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dinamismo </w:t>
      </w:r>
      <w:r w:rsidR="006F09A5">
        <w:rPr>
          <w:rFonts w:ascii="Nirmala UI" w:eastAsia="Times New Roman" w:hAnsi="Nirmala UI" w:cs="Nirmala UI"/>
          <w:sz w:val="21"/>
          <w:szCs w:val="21"/>
          <w:lang w:eastAsia="es-CL"/>
        </w:rPr>
        <w:t>que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202</w:t>
      </w:r>
      <w:r w:rsidR="003B19F6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1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. Según el indicador, </w:t>
      </w:r>
      <w:r w:rsidR="00B50E6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julio </w:t>
      </w:r>
      <w:r w:rsidR="006F09A5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tuvo la </w:t>
      </w:r>
      <w:r w:rsidR="00B50E6E">
        <w:rPr>
          <w:rFonts w:ascii="Nirmala UI" w:eastAsia="Times New Roman" w:hAnsi="Nirmala UI" w:cs="Nirmala UI"/>
          <w:sz w:val="21"/>
          <w:szCs w:val="21"/>
          <w:lang w:eastAsia="es-CL"/>
        </w:rPr>
        <w:t>menor</w:t>
      </w:r>
      <w:r w:rsidR="006F09A5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variación </w:t>
      </w:r>
      <w:r w:rsidR="00B50E6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anotando un 1,7 % versus un </w:t>
      </w:r>
      <w:r w:rsidR="00B50E6E" w:rsidRPr="005C2661">
        <w:rPr>
          <w:rFonts w:ascii="Nirmala UI" w:eastAsia="Times New Roman" w:hAnsi="Nirmala UI" w:cs="Nirmala UI"/>
          <w:sz w:val="21"/>
          <w:szCs w:val="21"/>
          <w:lang w:eastAsia="es-CL"/>
        </w:rPr>
        <w:t>2</w:t>
      </w:r>
      <w:r w:rsidR="008E3544" w:rsidRPr="005C2661">
        <w:rPr>
          <w:rFonts w:ascii="Nirmala UI" w:eastAsia="Times New Roman" w:hAnsi="Nirmala UI" w:cs="Nirmala UI"/>
          <w:sz w:val="21"/>
          <w:szCs w:val="21"/>
          <w:lang w:eastAsia="es-CL"/>
        </w:rPr>
        <w:t>4</w:t>
      </w:r>
      <w:r w:rsidR="00B50E6E">
        <w:rPr>
          <w:rFonts w:ascii="Nirmala UI" w:eastAsia="Times New Roman" w:hAnsi="Nirmala UI" w:cs="Nirmala UI"/>
          <w:sz w:val="21"/>
          <w:szCs w:val="21"/>
          <w:lang w:eastAsia="es-CL"/>
        </w:rPr>
        <w:t>,9%</w:t>
      </w:r>
      <w:r w:rsidR="00B50E6E" w:rsidRPr="003D4A70">
        <w:rPr>
          <w:rFonts w:ascii="Nirmala UI" w:eastAsia="Times New Roman" w:hAnsi="Nirmala UI" w:cs="Nirmala UI"/>
          <w:color w:val="FF0000"/>
          <w:sz w:val="21"/>
          <w:szCs w:val="21"/>
          <w:lang w:eastAsia="es-CL"/>
        </w:rPr>
        <w:t xml:space="preserve"> </w:t>
      </w:r>
      <w:r w:rsidR="00B50E6E">
        <w:rPr>
          <w:rFonts w:ascii="Nirmala UI" w:eastAsia="Times New Roman" w:hAnsi="Nirmala UI" w:cs="Nirmala UI"/>
          <w:sz w:val="21"/>
          <w:szCs w:val="21"/>
          <w:lang w:eastAsia="es-CL"/>
        </w:rPr>
        <w:t>del año anterior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, seguido por </w:t>
      </w:r>
      <w:r w:rsidR="00760736">
        <w:rPr>
          <w:rFonts w:ascii="Nirmala UI" w:eastAsia="Times New Roman" w:hAnsi="Nirmala UI" w:cs="Nirmala UI"/>
          <w:sz w:val="21"/>
          <w:szCs w:val="21"/>
          <w:lang w:eastAsia="es-CL"/>
        </w:rPr>
        <w:t>septiembre</w:t>
      </w:r>
      <w:r w:rsidR="003D4A70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</w:t>
      </w:r>
      <w:r w:rsidR="002F6701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que marcó un </w:t>
      </w:r>
      <w:r w:rsidR="00760736">
        <w:rPr>
          <w:rFonts w:ascii="Nirmala UI" w:eastAsia="Times New Roman" w:hAnsi="Nirmala UI" w:cs="Nirmala UI"/>
          <w:sz w:val="21"/>
          <w:szCs w:val="21"/>
          <w:lang w:eastAsia="es-CL"/>
        </w:rPr>
        <w:t>5,3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%</w:t>
      </w:r>
      <w:r w:rsidR="003D4A70" w:rsidRPr="003D4A70">
        <w:rPr>
          <w:rFonts w:ascii="Nirmala UI" w:eastAsia="Times New Roman" w:hAnsi="Nirmala UI" w:cs="Nirmala UI"/>
          <w:color w:val="FF0000"/>
          <w:sz w:val="21"/>
          <w:szCs w:val="21"/>
          <w:lang w:eastAsia="es-CL"/>
        </w:rPr>
        <w:t xml:space="preserve"> </w:t>
      </w:r>
      <w:r w:rsidR="001745C1">
        <w:rPr>
          <w:rFonts w:ascii="Nirmala UI" w:eastAsia="Times New Roman" w:hAnsi="Nirmala UI" w:cs="Nirmala UI"/>
          <w:sz w:val="21"/>
          <w:szCs w:val="21"/>
          <w:lang w:eastAsia="es-CL"/>
        </w:rPr>
        <w:t>mientras que en 2021</w:t>
      </w:r>
      <w:r w:rsidR="002F6701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obtuvo </w:t>
      </w:r>
      <w:r w:rsidR="00920609">
        <w:rPr>
          <w:rFonts w:ascii="Nirmala UI" w:eastAsia="Times New Roman" w:hAnsi="Nirmala UI" w:cs="Nirmala UI"/>
          <w:sz w:val="21"/>
          <w:szCs w:val="21"/>
          <w:lang w:eastAsia="es-CL"/>
        </w:rPr>
        <w:t>14,3%</w:t>
      </w:r>
      <w:r w:rsidR="005C2661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. </w:t>
      </w:r>
      <w:r w:rsidR="002B3585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Por su parte, </w:t>
      </w:r>
      <w:r w:rsidR="00920609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agosto 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observó un </w:t>
      </w:r>
      <w:r w:rsidR="00920609">
        <w:rPr>
          <w:rFonts w:ascii="Nirmala UI" w:eastAsia="Times New Roman" w:hAnsi="Nirmala UI" w:cs="Nirmala UI"/>
          <w:sz w:val="21"/>
          <w:szCs w:val="21"/>
          <w:lang w:eastAsia="es-CL"/>
        </w:rPr>
        <w:t>7,6</w:t>
      </w:r>
      <w:r w:rsidR="00B56937" w:rsidRPr="00E621FE">
        <w:rPr>
          <w:rFonts w:ascii="Nirmala UI" w:eastAsia="Times New Roman" w:hAnsi="Nirmala UI" w:cs="Nirmala UI"/>
          <w:sz w:val="21"/>
          <w:szCs w:val="21"/>
          <w:lang w:eastAsia="es-CL"/>
        </w:rPr>
        <w:t>% de crecimiento</w:t>
      </w:r>
      <w:r w:rsidR="00920609">
        <w:rPr>
          <w:rFonts w:ascii="Nirmala UI" w:eastAsia="Times New Roman" w:hAnsi="Nirmala UI" w:cs="Nirmala UI"/>
          <w:sz w:val="21"/>
          <w:szCs w:val="21"/>
          <w:lang w:eastAsia="es-CL"/>
        </w:rPr>
        <w:t>, mientras que d</w:t>
      </w:r>
      <w:r w:rsidR="00E84FB0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urante el mismo periodo </w:t>
      </w:r>
      <w:r w:rsidR="00976504">
        <w:rPr>
          <w:rFonts w:ascii="Nirmala UI" w:eastAsia="Times New Roman" w:hAnsi="Nirmala UI" w:cs="Nirmala UI"/>
          <w:sz w:val="21"/>
          <w:szCs w:val="21"/>
          <w:lang w:eastAsia="es-CL"/>
        </w:rPr>
        <w:t>en 2021 anotó un 17,2%.</w:t>
      </w:r>
      <w:r w:rsidR="005C2661">
        <w:rPr>
          <w:rFonts w:ascii="Nirmala UI" w:eastAsia="Times New Roman" w:hAnsi="Nirmala UI" w:cs="Nirmala UI"/>
          <w:sz w:val="21"/>
          <w:szCs w:val="21"/>
          <w:lang w:eastAsia="es-CL"/>
        </w:rPr>
        <w:t xml:space="preserve"> </w:t>
      </w:r>
    </w:p>
    <w:p w14:paraId="24D8D548" w14:textId="77777777" w:rsidR="00B56937" w:rsidRPr="00E621FE" w:rsidRDefault="00B56937" w:rsidP="00B56937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z w:val="21"/>
          <w:szCs w:val="21"/>
          <w:lang w:eastAsia="es-CL"/>
        </w:rPr>
      </w:pPr>
    </w:p>
    <w:p w14:paraId="76E2EC1C" w14:textId="7D290A10" w:rsidR="002C0849" w:rsidRDefault="00B56937" w:rsidP="00B56937">
      <w:pPr>
        <w:shd w:val="clear" w:color="auto" w:fill="FFFFFF"/>
        <w:spacing w:after="0" w:line="240" w:lineRule="auto"/>
        <w:jc w:val="both"/>
      </w:pPr>
      <w:r w:rsidRPr="00E621FE">
        <w:rPr>
          <w:rFonts w:ascii="Nirmala UI" w:hAnsi="Nirmala UI" w:cs="Nirmala UI"/>
          <w:sz w:val="21"/>
          <w:szCs w:val="21"/>
        </w:rPr>
        <w:t>En términos trimestrales, las categorías con mayores ventas fue</w:t>
      </w:r>
      <w:r w:rsidR="004D5101" w:rsidRPr="00E621FE">
        <w:rPr>
          <w:rFonts w:ascii="Nirmala UI" w:hAnsi="Nirmala UI" w:cs="Nirmala UI"/>
          <w:sz w:val="21"/>
          <w:szCs w:val="21"/>
        </w:rPr>
        <w:t xml:space="preserve"> </w:t>
      </w:r>
      <w:r w:rsidR="00165BAB">
        <w:rPr>
          <w:rFonts w:ascii="Nirmala UI" w:hAnsi="Nirmala UI" w:cs="Nirmala UI"/>
          <w:sz w:val="21"/>
          <w:szCs w:val="21"/>
        </w:rPr>
        <w:t xml:space="preserve">Abarrotes Perecibles </w:t>
      </w:r>
      <w:r w:rsidR="0055325D">
        <w:rPr>
          <w:rFonts w:ascii="Nirmala UI" w:hAnsi="Nirmala UI" w:cs="Nirmala UI"/>
          <w:sz w:val="21"/>
          <w:szCs w:val="21"/>
        </w:rPr>
        <w:t xml:space="preserve">marcando </w:t>
      </w:r>
      <w:r w:rsidRPr="00E621FE">
        <w:rPr>
          <w:rFonts w:ascii="Nirmala UI" w:hAnsi="Nirmala UI" w:cs="Nirmala UI"/>
          <w:sz w:val="21"/>
          <w:szCs w:val="21"/>
        </w:rPr>
        <w:t xml:space="preserve">un </w:t>
      </w:r>
      <w:r w:rsidR="00011602">
        <w:rPr>
          <w:rFonts w:ascii="Nirmala UI" w:hAnsi="Nirmala UI" w:cs="Nirmala UI"/>
          <w:sz w:val="21"/>
          <w:szCs w:val="21"/>
        </w:rPr>
        <w:t>7,5</w:t>
      </w:r>
      <w:r w:rsidRPr="00E621FE">
        <w:rPr>
          <w:rFonts w:ascii="Nirmala UI" w:hAnsi="Nirmala UI" w:cs="Nirmala UI"/>
          <w:sz w:val="21"/>
          <w:szCs w:val="21"/>
        </w:rPr>
        <w:t>%</w:t>
      </w:r>
      <w:r w:rsidR="00011602">
        <w:rPr>
          <w:rFonts w:ascii="Nirmala UI" w:hAnsi="Nirmala UI" w:cs="Nirmala UI"/>
          <w:sz w:val="21"/>
          <w:szCs w:val="21"/>
        </w:rPr>
        <w:t xml:space="preserve"> seguido por Alimentos </w:t>
      </w:r>
      <w:r w:rsidRPr="00E621FE">
        <w:rPr>
          <w:rFonts w:ascii="Nirmala UI" w:hAnsi="Nirmala UI" w:cs="Nirmala UI"/>
          <w:sz w:val="21"/>
          <w:szCs w:val="21"/>
        </w:rPr>
        <w:t xml:space="preserve">con un </w:t>
      </w:r>
      <w:r w:rsidR="00011602">
        <w:rPr>
          <w:rFonts w:ascii="Nirmala UI" w:hAnsi="Nirmala UI" w:cs="Nirmala UI"/>
          <w:sz w:val="21"/>
          <w:szCs w:val="21"/>
        </w:rPr>
        <w:t>6</w:t>
      </w:r>
      <w:r w:rsidRPr="00E621FE">
        <w:rPr>
          <w:rFonts w:ascii="Nirmala UI" w:hAnsi="Nirmala UI" w:cs="Nirmala UI"/>
          <w:sz w:val="21"/>
          <w:szCs w:val="21"/>
        </w:rPr>
        <w:t>,</w:t>
      </w:r>
      <w:r w:rsidR="00011602">
        <w:rPr>
          <w:rFonts w:ascii="Nirmala UI" w:hAnsi="Nirmala UI" w:cs="Nirmala UI"/>
          <w:sz w:val="21"/>
          <w:szCs w:val="21"/>
        </w:rPr>
        <w:t>4</w:t>
      </w:r>
      <w:r w:rsidR="006F09A5">
        <w:rPr>
          <w:rFonts w:ascii="Nirmala UI" w:hAnsi="Nirmala UI" w:cs="Nirmala UI"/>
          <w:sz w:val="21"/>
          <w:szCs w:val="21"/>
        </w:rPr>
        <w:t>%</w:t>
      </w:r>
      <w:r w:rsidRPr="00E621FE">
        <w:rPr>
          <w:rFonts w:ascii="Nirmala UI" w:hAnsi="Nirmala UI" w:cs="Nirmala UI"/>
          <w:sz w:val="21"/>
          <w:szCs w:val="21"/>
        </w:rPr>
        <w:t xml:space="preserve">. Por su parte, Abarrotes no Alimentos registró un </w:t>
      </w:r>
      <w:r w:rsidR="00D32C1C">
        <w:rPr>
          <w:rFonts w:ascii="Nirmala UI" w:hAnsi="Nirmala UI" w:cs="Nirmala UI"/>
          <w:sz w:val="21"/>
          <w:szCs w:val="21"/>
        </w:rPr>
        <w:t>6,0</w:t>
      </w:r>
      <w:r w:rsidRPr="00E621FE">
        <w:rPr>
          <w:rFonts w:ascii="Nirmala UI" w:hAnsi="Nirmala UI" w:cs="Nirmala UI"/>
          <w:sz w:val="21"/>
          <w:szCs w:val="21"/>
        </w:rPr>
        <w:t xml:space="preserve">%, mientras que </w:t>
      </w:r>
      <w:r w:rsidR="00963067">
        <w:rPr>
          <w:rFonts w:ascii="Nirmala UI" w:hAnsi="Nirmala UI" w:cs="Nirmala UI"/>
          <w:sz w:val="21"/>
          <w:szCs w:val="21"/>
        </w:rPr>
        <w:t>Bebidas, Cervezas y Licores</w:t>
      </w:r>
      <w:r w:rsidRPr="00E621FE">
        <w:rPr>
          <w:rFonts w:ascii="Nirmala UI" w:hAnsi="Nirmala UI" w:cs="Nirmala UI"/>
          <w:sz w:val="21"/>
          <w:szCs w:val="21"/>
        </w:rPr>
        <w:t xml:space="preserve"> </w:t>
      </w:r>
      <w:r w:rsidR="00247879">
        <w:rPr>
          <w:rFonts w:ascii="Nirmala UI" w:hAnsi="Nirmala UI" w:cs="Nirmala UI"/>
          <w:sz w:val="21"/>
          <w:szCs w:val="21"/>
        </w:rPr>
        <w:t xml:space="preserve">e </w:t>
      </w:r>
      <w:r w:rsidR="00247879" w:rsidRPr="00E621FE">
        <w:rPr>
          <w:rFonts w:ascii="Nirmala UI" w:hAnsi="Nirmala UI" w:cs="Nirmala UI"/>
          <w:sz w:val="21"/>
          <w:szCs w:val="21"/>
        </w:rPr>
        <w:t xml:space="preserve">Higiene </w:t>
      </w:r>
      <w:r w:rsidR="001B758E">
        <w:rPr>
          <w:rFonts w:ascii="Nirmala UI" w:hAnsi="Nirmala UI" w:cs="Nirmala UI"/>
          <w:sz w:val="21"/>
          <w:szCs w:val="21"/>
        </w:rPr>
        <w:t xml:space="preserve">obtuvo un -2,4% </w:t>
      </w:r>
      <w:r w:rsidR="0026136F">
        <w:rPr>
          <w:rFonts w:ascii="Nirmala UI" w:hAnsi="Nirmala UI" w:cs="Nirmala UI"/>
          <w:sz w:val="21"/>
          <w:szCs w:val="21"/>
        </w:rPr>
        <w:t>e</w:t>
      </w:r>
      <w:r w:rsidR="001B758E">
        <w:rPr>
          <w:rFonts w:ascii="Nirmala UI" w:hAnsi="Nirmala UI" w:cs="Nirmala UI"/>
          <w:sz w:val="21"/>
          <w:szCs w:val="21"/>
        </w:rPr>
        <w:t xml:space="preserve"> Higiene </w:t>
      </w:r>
      <w:r w:rsidR="00247879" w:rsidRPr="00E621FE">
        <w:rPr>
          <w:rFonts w:ascii="Nirmala UI" w:hAnsi="Nirmala UI" w:cs="Nirmala UI"/>
          <w:sz w:val="21"/>
          <w:szCs w:val="21"/>
        </w:rPr>
        <w:t>y Belleza</w:t>
      </w:r>
      <w:r w:rsidR="00247879">
        <w:rPr>
          <w:rFonts w:ascii="Nirmala UI" w:hAnsi="Nirmala UI" w:cs="Nirmala UI"/>
          <w:sz w:val="21"/>
          <w:szCs w:val="21"/>
        </w:rPr>
        <w:t xml:space="preserve"> </w:t>
      </w:r>
      <w:r w:rsidR="001B758E">
        <w:rPr>
          <w:rFonts w:ascii="Nirmala UI" w:hAnsi="Nirmala UI" w:cs="Nirmala UI"/>
          <w:sz w:val="21"/>
          <w:szCs w:val="21"/>
        </w:rPr>
        <w:t xml:space="preserve">un </w:t>
      </w:r>
      <w:r w:rsidR="0026136F">
        <w:rPr>
          <w:rFonts w:ascii="Nirmala UI" w:hAnsi="Nirmala UI" w:cs="Nirmala UI"/>
          <w:sz w:val="21"/>
          <w:szCs w:val="21"/>
        </w:rPr>
        <w:t>-4,6%.</w:t>
      </w:r>
      <w:r w:rsidR="007D1C6B">
        <w:rPr>
          <w:rFonts w:ascii="Nirmala UI" w:hAnsi="Nirmala UI" w:cs="Nirmala UI"/>
          <w:sz w:val="21"/>
          <w:szCs w:val="21"/>
        </w:rPr>
        <w:t xml:space="preserve"> </w:t>
      </w:r>
      <w:r w:rsidR="007D1C6B" w:rsidRPr="00D07DCD">
        <w:rPr>
          <w:rFonts w:ascii="Nirmala UI" w:hAnsi="Nirmala UI" w:cs="Nirmala UI"/>
          <w:sz w:val="21"/>
          <w:szCs w:val="21"/>
        </w:rPr>
        <w:t xml:space="preserve">Cabe destacar que </w:t>
      </w:r>
      <w:r w:rsidR="00595BA8" w:rsidRPr="00D07DCD">
        <w:rPr>
          <w:rFonts w:ascii="Nirmala UI" w:hAnsi="Nirmala UI" w:cs="Nirmala UI"/>
          <w:sz w:val="21"/>
          <w:szCs w:val="21"/>
        </w:rPr>
        <w:t>durante septiembre cinco</w:t>
      </w:r>
      <w:r w:rsidR="007D1C6B" w:rsidRPr="00D07DCD">
        <w:rPr>
          <w:rFonts w:ascii="Nirmala UI" w:hAnsi="Nirmala UI" w:cs="Nirmala UI"/>
          <w:sz w:val="21"/>
          <w:szCs w:val="21"/>
        </w:rPr>
        <w:t xml:space="preserve"> de los </w:t>
      </w:r>
      <w:r w:rsidR="00595BA8" w:rsidRPr="00D07DCD">
        <w:rPr>
          <w:rFonts w:ascii="Nirmala UI" w:hAnsi="Nirmala UI" w:cs="Nirmala UI"/>
          <w:sz w:val="21"/>
          <w:szCs w:val="21"/>
        </w:rPr>
        <w:t>seis</w:t>
      </w:r>
      <w:r w:rsidR="007D1C6B" w:rsidRPr="00D07DCD">
        <w:rPr>
          <w:rFonts w:ascii="Nirmala UI" w:hAnsi="Nirmala UI" w:cs="Nirmala UI"/>
          <w:sz w:val="21"/>
          <w:szCs w:val="21"/>
        </w:rPr>
        <w:t xml:space="preserve"> segmentos, que conforman el indicador, tuvieron una variación menor a la del mes de agosto salvo en el caso de Higiene y Belleza que pasó de un -4,1% a un 1,6%.</w:t>
      </w:r>
      <w:r w:rsidR="00737F02">
        <w:t xml:space="preserve"> </w:t>
      </w:r>
    </w:p>
    <w:p w14:paraId="61D20F72" w14:textId="77777777" w:rsidR="00B56937" w:rsidRPr="00E621FE" w:rsidRDefault="00B56937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5AA5B542" w14:textId="5AA3E712" w:rsidR="005F5606" w:rsidRDefault="00B56937" w:rsidP="248DA91E">
      <w:pPr>
        <w:shd w:val="clear" w:color="auto" w:fill="FFFFFF" w:themeFill="background1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>“</w:t>
      </w:r>
      <w:r w:rsidR="0026136F">
        <w:rPr>
          <w:rFonts w:ascii="Nirmala UI" w:hAnsi="Nirmala UI" w:cs="Nirmala UI"/>
          <w:sz w:val="21"/>
          <w:szCs w:val="21"/>
        </w:rPr>
        <w:t xml:space="preserve">Tal como </w:t>
      </w:r>
      <w:r w:rsidR="00B249DF">
        <w:rPr>
          <w:rFonts w:ascii="Nirmala UI" w:hAnsi="Nirmala UI" w:cs="Nirmala UI"/>
          <w:sz w:val="21"/>
          <w:szCs w:val="21"/>
        </w:rPr>
        <w:t xml:space="preserve">ha muestra el </w:t>
      </w:r>
      <w:r w:rsidR="00607056">
        <w:rPr>
          <w:rFonts w:ascii="Nirmala UI" w:hAnsi="Nirmala UI" w:cs="Nirmala UI"/>
          <w:sz w:val="21"/>
          <w:szCs w:val="21"/>
        </w:rPr>
        <w:t>índice AGIP</w:t>
      </w:r>
      <w:r w:rsidR="005E6AC0">
        <w:rPr>
          <w:rFonts w:ascii="Nirmala UI" w:hAnsi="Nirmala UI" w:cs="Nirmala UI"/>
          <w:sz w:val="21"/>
          <w:szCs w:val="21"/>
        </w:rPr>
        <w:t xml:space="preserve"> y el </w:t>
      </w:r>
      <w:r w:rsidR="00B249DF">
        <w:rPr>
          <w:rFonts w:ascii="Nirmala UI" w:hAnsi="Nirmala UI" w:cs="Nirmala UI"/>
          <w:sz w:val="21"/>
          <w:szCs w:val="21"/>
        </w:rPr>
        <w:t>IMACEC</w:t>
      </w:r>
      <w:r w:rsidR="00674ECD">
        <w:rPr>
          <w:rFonts w:ascii="Nirmala UI" w:hAnsi="Nirmala UI" w:cs="Nirmala UI"/>
          <w:sz w:val="21"/>
          <w:szCs w:val="21"/>
        </w:rPr>
        <w:t>, existe menor actividad</w:t>
      </w:r>
      <w:r w:rsidR="007B0EA0">
        <w:rPr>
          <w:rFonts w:ascii="Nirmala UI" w:hAnsi="Nirmala UI" w:cs="Nirmala UI"/>
          <w:sz w:val="21"/>
          <w:szCs w:val="21"/>
        </w:rPr>
        <w:t xml:space="preserve"> que se ha instalado como una constante en los últimos meses</w:t>
      </w:r>
      <w:r w:rsidR="00674ECD">
        <w:rPr>
          <w:rFonts w:ascii="Nirmala UI" w:hAnsi="Nirmala UI" w:cs="Nirmala UI"/>
          <w:sz w:val="21"/>
          <w:szCs w:val="21"/>
        </w:rPr>
        <w:t xml:space="preserve">. Si bien el mercado esperaba </w:t>
      </w:r>
      <w:r w:rsidR="00D14956">
        <w:rPr>
          <w:rFonts w:ascii="Nirmala UI" w:hAnsi="Nirmala UI" w:cs="Nirmala UI"/>
          <w:sz w:val="21"/>
          <w:szCs w:val="21"/>
        </w:rPr>
        <w:t>un peor escenario, miramos con preocupación los próximos meses</w:t>
      </w:r>
      <w:r w:rsidR="00124421">
        <w:rPr>
          <w:rFonts w:ascii="Nirmala UI" w:hAnsi="Nirmala UI" w:cs="Nirmala UI"/>
          <w:sz w:val="21"/>
          <w:szCs w:val="21"/>
        </w:rPr>
        <w:t xml:space="preserve"> del año</w:t>
      </w:r>
      <w:r w:rsidR="0034231E">
        <w:rPr>
          <w:rFonts w:ascii="Nirmala UI" w:hAnsi="Nirmala UI" w:cs="Nirmala UI"/>
          <w:sz w:val="21"/>
          <w:szCs w:val="21"/>
        </w:rPr>
        <w:t>.</w:t>
      </w:r>
      <w:r w:rsidR="00ED2E04" w:rsidDel="0034231E">
        <w:rPr>
          <w:rFonts w:ascii="Nirmala UI" w:hAnsi="Nirmala UI" w:cs="Nirmala UI"/>
          <w:sz w:val="21"/>
          <w:szCs w:val="21"/>
        </w:rPr>
        <w:t xml:space="preserve"> </w:t>
      </w:r>
      <w:r w:rsidR="007D445D">
        <w:rPr>
          <w:rFonts w:ascii="Nirmala UI" w:hAnsi="Nirmala UI" w:cs="Nirmala UI"/>
          <w:sz w:val="21"/>
          <w:szCs w:val="21"/>
        </w:rPr>
        <w:t>Los costos de producción</w:t>
      </w:r>
      <w:r w:rsidR="00BB383D">
        <w:rPr>
          <w:rFonts w:ascii="Nirmala UI" w:hAnsi="Nirmala UI" w:cs="Nirmala UI"/>
          <w:sz w:val="21"/>
          <w:szCs w:val="21"/>
        </w:rPr>
        <w:t xml:space="preserve"> y de las materias primas</w:t>
      </w:r>
      <w:r w:rsidR="007D445D">
        <w:rPr>
          <w:rFonts w:ascii="Nirmala UI" w:hAnsi="Nirmala UI" w:cs="Nirmala UI"/>
          <w:sz w:val="21"/>
          <w:szCs w:val="21"/>
        </w:rPr>
        <w:t xml:space="preserve"> han aumentado</w:t>
      </w:r>
      <w:r w:rsidR="008F04A5">
        <w:rPr>
          <w:rFonts w:ascii="Nirmala UI" w:hAnsi="Nirmala UI" w:cs="Nirmala UI"/>
          <w:sz w:val="21"/>
          <w:szCs w:val="21"/>
        </w:rPr>
        <w:t>, lo que podría impactar de manera negativa en el consumo</w:t>
      </w:r>
      <w:r w:rsidR="00ED2E04">
        <w:rPr>
          <w:rFonts w:ascii="Nirmala UI" w:hAnsi="Nirmala UI" w:cs="Nirmala UI"/>
          <w:sz w:val="21"/>
          <w:szCs w:val="21"/>
        </w:rPr>
        <w:t>”</w:t>
      </w:r>
      <w:r w:rsidR="009948A9" w:rsidRPr="00E621FE">
        <w:rPr>
          <w:rFonts w:ascii="Nirmala UI" w:hAnsi="Nirmala UI" w:cs="Nirmala UI"/>
          <w:sz w:val="21"/>
          <w:szCs w:val="21"/>
        </w:rPr>
        <w:t xml:space="preserve">, aseguró Vasco Costa, presidente del gremio. </w:t>
      </w:r>
    </w:p>
    <w:p w14:paraId="3313133E" w14:textId="77777777" w:rsidR="005F5606" w:rsidRDefault="005F5606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1B825E10" w14:textId="4DA50BF2" w:rsidR="00560D82" w:rsidRDefault="001161D1" w:rsidP="00C127F6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>
        <w:rPr>
          <w:rFonts w:ascii="Nirmala UI" w:hAnsi="Nirmala UI" w:cs="Nirmala UI"/>
          <w:sz w:val="21"/>
          <w:szCs w:val="21"/>
        </w:rPr>
        <w:lastRenderedPageBreak/>
        <w:t>Asimismo</w:t>
      </w:r>
      <w:r w:rsidR="00CF0990">
        <w:rPr>
          <w:rFonts w:ascii="Nirmala UI" w:hAnsi="Nirmala UI" w:cs="Nirmala UI"/>
          <w:sz w:val="21"/>
          <w:szCs w:val="21"/>
        </w:rPr>
        <w:t xml:space="preserve">, </w:t>
      </w:r>
      <w:r w:rsidR="005D75E1">
        <w:rPr>
          <w:rFonts w:ascii="Nirmala UI" w:hAnsi="Nirmala UI" w:cs="Nirmala UI"/>
          <w:sz w:val="21"/>
          <w:szCs w:val="21"/>
        </w:rPr>
        <w:t>en el marco de</w:t>
      </w:r>
      <w:r w:rsidR="00DC10CF">
        <w:rPr>
          <w:rFonts w:ascii="Nirmala UI" w:hAnsi="Nirmala UI" w:cs="Nirmala UI"/>
          <w:sz w:val="21"/>
          <w:szCs w:val="21"/>
        </w:rPr>
        <w:t xml:space="preserve"> una baja sostenida en la confianza de los consumidores</w:t>
      </w:r>
      <w:r w:rsidR="00581D09">
        <w:rPr>
          <w:rFonts w:ascii="Nirmala UI" w:hAnsi="Nirmala UI" w:cs="Nirmala UI"/>
          <w:sz w:val="21"/>
          <w:szCs w:val="21"/>
        </w:rPr>
        <w:t xml:space="preserve">, </w:t>
      </w:r>
      <w:r w:rsidR="00592E27">
        <w:rPr>
          <w:rFonts w:ascii="Nirmala UI" w:hAnsi="Nirmala UI" w:cs="Nirmala UI"/>
          <w:sz w:val="21"/>
          <w:szCs w:val="21"/>
        </w:rPr>
        <w:t xml:space="preserve">proyectó </w:t>
      </w:r>
      <w:r w:rsidR="00CF0990">
        <w:rPr>
          <w:rFonts w:ascii="Nirmala UI" w:hAnsi="Nirmala UI" w:cs="Nirmala UI"/>
          <w:sz w:val="21"/>
          <w:szCs w:val="21"/>
        </w:rPr>
        <w:t>una desaceleración para el resto del año.</w:t>
      </w:r>
    </w:p>
    <w:p w14:paraId="32054925" w14:textId="5E58CF4D" w:rsidR="00E516A6" w:rsidRPr="00E621FE" w:rsidRDefault="00E516A6" w:rsidP="00C127F6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6101464F" w14:textId="0EA3E859" w:rsidR="00E11EA8" w:rsidRPr="003B029C" w:rsidRDefault="009948A9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E621FE">
        <w:rPr>
          <w:rFonts w:ascii="Nirmala UI" w:hAnsi="Nirmala UI" w:cs="Nirmala UI"/>
          <w:sz w:val="21"/>
          <w:szCs w:val="21"/>
        </w:rPr>
        <w:t>“</w:t>
      </w:r>
      <w:r w:rsidR="00EB7F81">
        <w:rPr>
          <w:rFonts w:ascii="Nirmala UI" w:hAnsi="Nirmala UI" w:cs="Nirmala UI"/>
          <w:sz w:val="21"/>
          <w:szCs w:val="21"/>
        </w:rPr>
        <w:t>Factores como la incertidumbre</w:t>
      </w:r>
      <w:r w:rsidR="00EC6065">
        <w:rPr>
          <w:rFonts w:ascii="Nirmala UI" w:hAnsi="Nirmala UI" w:cs="Nirmala UI"/>
          <w:sz w:val="21"/>
          <w:szCs w:val="21"/>
        </w:rPr>
        <w:t xml:space="preserve"> económica</w:t>
      </w:r>
      <w:r w:rsidR="00EB7F81">
        <w:rPr>
          <w:rFonts w:ascii="Nirmala UI" w:hAnsi="Nirmala UI" w:cs="Nirmala UI"/>
          <w:sz w:val="21"/>
          <w:szCs w:val="21"/>
        </w:rPr>
        <w:t xml:space="preserve"> han </w:t>
      </w:r>
      <w:r w:rsidR="0026529B">
        <w:rPr>
          <w:rFonts w:ascii="Nirmala UI" w:hAnsi="Nirmala UI" w:cs="Nirmala UI"/>
          <w:sz w:val="21"/>
          <w:szCs w:val="21"/>
        </w:rPr>
        <w:t xml:space="preserve">provocado desconfianza en </w:t>
      </w:r>
      <w:r w:rsidR="00443DE2">
        <w:rPr>
          <w:rFonts w:ascii="Nirmala UI" w:hAnsi="Nirmala UI" w:cs="Nirmala UI"/>
          <w:sz w:val="21"/>
          <w:szCs w:val="21"/>
        </w:rPr>
        <w:t>la</w:t>
      </w:r>
      <w:r w:rsidR="00300D0A">
        <w:rPr>
          <w:rFonts w:ascii="Nirmala UI" w:hAnsi="Nirmala UI" w:cs="Nirmala UI"/>
          <w:sz w:val="21"/>
          <w:szCs w:val="21"/>
        </w:rPr>
        <w:t xml:space="preserve"> futura</w:t>
      </w:r>
      <w:r w:rsidR="00443DE2">
        <w:rPr>
          <w:rFonts w:ascii="Nirmala UI" w:hAnsi="Nirmala UI" w:cs="Nirmala UI"/>
          <w:sz w:val="21"/>
          <w:szCs w:val="21"/>
        </w:rPr>
        <w:t xml:space="preserve"> </w:t>
      </w:r>
      <w:r w:rsidR="004C5138">
        <w:rPr>
          <w:rFonts w:ascii="Nirmala UI" w:hAnsi="Nirmala UI" w:cs="Nirmala UI"/>
          <w:sz w:val="21"/>
          <w:szCs w:val="21"/>
        </w:rPr>
        <w:t>estabilidad del país,</w:t>
      </w:r>
      <w:r w:rsidR="00300D0A">
        <w:rPr>
          <w:rFonts w:ascii="Nirmala UI" w:hAnsi="Nirmala UI" w:cs="Nirmala UI"/>
          <w:sz w:val="21"/>
          <w:szCs w:val="21"/>
        </w:rPr>
        <w:t xml:space="preserve"> lo que</w:t>
      </w:r>
      <w:r w:rsidR="004C5138">
        <w:rPr>
          <w:rFonts w:ascii="Nirmala UI" w:hAnsi="Nirmala UI" w:cs="Nirmala UI"/>
          <w:sz w:val="21"/>
          <w:szCs w:val="21"/>
        </w:rPr>
        <w:t xml:space="preserve"> </w:t>
      </w:r>
      <w:r w:rsidR="00D0470D">
        <w:rPr>
          <w:rFonts w:ascii="Nirmala UI" w:hAnsi="Nirmala UI" w:cs="Nirmala UI"/>
          <w:sz w:val="21"/>
          <w:szCs w:val="21"/>
        </w:rPr>
        <w:t xml:space="preserve">probablemente influya en </w:t>
      </w:r>
      <w:r w:rsidR="00E05BA4">
        <w:rPr>
          <w:rFonts w:ascii="Nirmala UI" w:hAnsi="Nirmala UI" w:cs="Nirmala UI"/>
          <w:sz w:val="21"/>
          <w:szCs w:val="21"/>
        </w:rPr>
        <w:t>el comportamiento</w:t>
      </w:r>
      <w:r w:rsidR="004C5138">
        <w:rPr>
          <w:rFonts w:ascii="Nirmala UI" w:hAnsi="Nirmala UI" w:cs="Nirmala UI"/>
          <w:sz w:val="21"/>
          <w:szCs w:val="21"/>
        </w:rPr>
        <w:t xml:space="preserve"> del consumo</w:t>
      </w:r>
      <w:r w:rsidR="00580A29">
        <w:rPr>
          <w:rFonts w:ascii="Nirmala UI" w:hAnsi="Nirmala UI" w:cs="Nirmala UI"/>
          <w:sz w:val="21"/>
          <w:szCs w:val="21"/>
        </w:rPr>
        <w:t>”</w:t>
      </w:r>
      <w:r w:rsidR="001C6543">
        <w:rPr>
          <w:rFonts w:ascii="Nirmala UI" w:hAnsi="Nirmala UI" w:cs="Nirmala UI"/>
          <w:sz w:val="21"/>
          <w:szCs w:val="21"/>
        </w:rPr>
        <w:t>, concluyó Costa.</w:t>
      </w:r>
      <w:r w:rsidR="004D6D7A" w:rsidRPr="00E621FE">
        <w:rPr>
          <w:rFonts w:ascii="Nirmala UI" w:hAnsi="Nirmala UI" w:cs="Nirmala UI"/>
          <w:sz w:val="21"/>
          <w:szCs w:val="21"/>
        </w:rPr>
        <w:t xml:space="preserve"> </w:t>
      </w:r>
    </w:p>
    <w:p w14:paraId="742EEB8C" w14:textId="5EC2C885" w:rsidR="00E11EA8" w:rsidRDefault="00E11EA8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2217A45B" w14:textId="5D9429E2" w:rsidR="00B50485" w:rsidRDefault="00B50485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noProof/>
        </w:rPr>
        <w:drawing>
          <wp:inline distT="0" distB="0" distL="0" distR="0" wp14:anchorId="3445E348" wp14:editId="4EA9BB29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EF8CFEF-8E53-C7F7-3344-BAB149AA2A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0A3D75" w14:textId="77777777" w:rsidR="00E11EA8" w:rsidRPr="00E53A9A" w:rsidRDefault="00E11EA8" w:rsidP="00B56937">
      <w:pPr>
        <w:shd w:val="clear" w:color="auto" w:fill="FFFFFF"/>
        <w:spacing w:after="0" w:line="240" w:lineRule="auto"/>
        <w:jc w:val="both"/>
        <w:rPr>
          <w:rFonts w:ascii="Nirmala UI" w:hAnsi="Nirmala UI" w:cs="Nirmala UI"/>
        </w:rPr>
      </w:pPr>
    </w:p>
    <w:p w14:paraId="7153E2C5" w14:textId="22B23232" w:rsidR="00B56937" w:rsidRDefault="00671FB8" w:rsidP="00100ACF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</w:rPr>
      </w:pPr>
      <w:r>
        <w:rPr>
          <w:noProof/>
        </w:rPr>
        <w:drawing>
          <wp:inline distT="0" distB="0" distL="0" distR="0" wp14:anchorId="293C7052" wp14:editId="1D6E60BC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DA7515F-8066-C6C2-6E2C-5A00C6D75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080CA1" w14:textId="77777777" w:rsidR="00FE1806" w:rsidRDefault="00FE1806" w:rsidP="73347FDA">
      <w:pPr>
        <w:shd w:val="clear" w:color="auto" w:fill="FFFFFF" w:themeFill="background1"/>
        <w:spacing w:after="0" w:line="240" w:lineRule="auto"/>
        <w:jc w:val="center"/>
        <w:rPr>
          <w:rFonts w:ascii="Nirmala UI" w:hAnsi="Nirmala UI" w:cs="Nirmala UI"/>
        </w:rPr>
      </w:pPr>
    </w:p>
    <w:p w14:paraId="39ED67C7" w14:textId="77777777" w:rsidR="003B18B0" w:rsidRDefault="003B18B0" w:rsidP="73347FDA">
      <w:pPr>
        <w:shd w:val="clear" w:color="auto" w:fill="FFFFFF" w:themeFill="background1"/>
        <w:spacing w:after="0" w:line="240" w:lineRule="auto"/>
        <w:jc w:val="center"/>
        <w:rPr>
          <w:rFonts w:ascii="Nirmala UI" w:hAnsi="Nirmala UI" w:cs="Nirmala UI"/>
        </w:rPr>
      </w:pPr>
    </w:p>
    <w:p w14:paraId="3CBD1EA5" w14:textId="77777777" w:rsidR="003B18B0" w:rsidRDefault="003B18B0" w:rsidP="73347FDA">
      <w:pPr>
        <w:shd w:val="clear" w:color="auto" w:fill="FFFFFF" w:themeFill="background1"/>
        <w:spacing w:after="0" w:line="240" w:lineRule="auto"/>
        <w:jc w:val="center"/>
        <w:rPr>
          <w:rFonts w:ascii="Nirmala UI" w:hAnsi="Nirmala UI" w:cs="Nirmala UI"/>
        </w:rPr>
      </w:pPr>
    </w:p>
    <w:p w14:paraId="7D8443F6" w14:textId="77777777" w:rsidR="003B18B0" w:rsidRPr="00E53A9A" w:rsidRDefault="003B18B0" w:rsidP="00100ACF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</w:rPr>
      </w:pPr>
    </w:p>
    <w:tbl>
      <w:tblPr>
        <w:tblStyle w:val="Tablaconcuadrcula1clara-nfasis1"/>
        <w:tblpPr w:leftFromText="141" w:rightFromText="141" w:vertAnchor="text" w:horzAnchor="margin" w:tblpXSpec="center" w:tblpY="317"/>
        <w:tblW w:w="7948" w:type="dxa"/>
        <w:tblLook w:val="04A0" w:firstRow="1" w:lastRow="0" w:firstColumn="1" w:lastColumn="0" w:noHBand="0" w:noVBand="1"/>
      </w:tblPr>
      <w:tblGrid>
        <w:gridCol w:w="1407"/>
        <w:gridCol w:w="1360"/>
        <w:gridCol w:w="1267"/>
        <w:gridCol w:w="1468"/>
        <w:gridCol w:w="1620"/>
        <w:gridCol w:w="1200"/>
      </w:tblGrid>
      <w:tr w:rsidR="00283525" w:rsidRPr="00283525" w14:paraId="199F1C28" w14:textId="77777777" w:rsidTr="7334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noWrap/>
            <w:hideMark/>
          </w:tcPr>
          <w:p w14:paraId="08ACD693" w14:textId="77777777" w:rsidR="00473D94" w:rsidRPr="00D07DCD" w:rsidRDefault="00473D94" w:rsidP="00473D94">
            <w:pPr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360" w:type="dxa"/>
            <w:noWrap/>
            <w:hideMark/>
          </w:tcPr>
          <w:p w14:paraId="69B07A99" w14:textId="77777777" w:rsidR="00473D94" w:rsidRPr="00D07DCD" w:rsidRDefault="00473D94" w:rsidP="00D0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Alimentos</w:t>
            </w:r>
          </w:p>
        </w:tc>
        <w:tc>
          <w:tcPr>
            <w:tcW w:w="1259" w:type="dxa"/>
            <w:noWrap/>
            <w:hideMark/>
          </w:tcPr>
          <w:p w14:paraId="325C3E70" w14:textId="77777777" w:rsidR="00473D94" w:rsidRPr="00D07DCD" w:rsidRDefault="00473D94" w:rsidP="00D0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Abarrotes no Alimentos</w:t>
            </w:r>
          </w:p>
        </w:tc>
        <w:tc>
          <w:tcPr>
            <w:tcW w:w="1468" w:type="dxa"/>
            <w:noWrap/>
            <w:hideMark/>
          </w:tcPr>
          <w:p w14:paraId="17D41606" w14:textId="77777777" w:rsidR="00473D94" w:rsidRPr="00D07DCD" w:rsidRDefault="00473D94" w:rsidP="00D0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Abarrotes Perecibles</w:t>
            </w:r>
          </w:p>
        </w:tc>
        <w:tc>
          <w:tcPr>
            <w:tcW w:w="1620" w:type="dxa"/>
            <w:noWrap/>
            <w:hideMark/>
          </w:tcPr>
          <w:p w14:paraId="3E5D94A9" w14:textId="77777777" w:rsidR="00473D94" w:rsidRPr="00D07DCD" w:rsidRDefault="00473D94" w:rsidP="00D0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Bebidas, Cervezas y Licores</w:t>
            </w:r>
          </w:p>
        </w:tc>
        <w:tc>
          <w:tcPr>
            <w:tcW w:w="1200" w:type="dxa"/>
            <w:noWrap/>
            <w:hideMark/>
          </w:tcPr>
          <w:p w14:paraId="271CDEE1" w14:textId="77777777" w:rsidR="00473D94" w:rsidRPr="00D07DCD" w:rsidRDefault="00473D94" w:rsidP="00D0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Higiene y Belleza</w:t>
            </w:r>
          </w:p>
        </w:tc>
      </w:tr>
      <w:tr w:rsidR="00283525" w:rsidRPr="00283525" w14:paraId="43BD2EB1" w14:textId="77777777" w:rsidTr="73347FD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noWrap/>
            <w:hideMark/>
          </w:tcPr>
          <w:p w14:paraId="0807E9C6" w14:textId="77777777" w:rsidR="00473D94" w:rsidRPr="00D07DCD" w:rsidRDefault="00473D94" w:rsidP="00D07DCD">
            <w:pPr>
              <w:jc w:val="center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Julio</w:t>
            </w:r>
          </w:p>
        </w:tc>
        <w:tc>
          <w:tcPr>
            <w:tcW w:w="1360" w:type="dxa"/>
            <w:noWrap/>
            <w:hideMark/>
          </w:tcPr>
          <w:p w14:paraId="32A01018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2,2</w:t>
            </w:r>
          </w:p>
        </w:tc>
        <w:tc>
          <w:tcPr>
            <w:tcW w:w="1259" w:type="dxa"/>
            <w:noWrap/>
            <w:hideMark/>
          </w:tcPr>
          <w:p w14:paraId="41964747" w14:textId="051A0D6C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4</w:t>
            </w:r>
            <w:r w:rsidR="003D4A70">
              <w:rPr>
                <w:rFonts w:ascii="Nirmala Text" w:eastAsia="Times New Roman" w:hAnsi="Nirmala Text" w:cs="Nirmala Text"/>
                <w:color w:val="000000"/>
                <w:lang w:eastAsia="es-CL"/>
              </w:rPr>
              <w:t>,0</w:t>
            </w:r>
          </w:p>
        </w:tc>
        <w:tc>
          <w:tcPr>
            <w:tcW w:w="1468" w:type="dxa"/>
            <w:noWrap/>
            <w:hideMark/>
          </w:tcPr>
          <w:p w14:paraId="3D395179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3,5</w:t>
            </w:r>
          </w:p>
        </w:tc>
        <w:tc>
          <w:tcPr>
            <w:tcW w:w="1620" w:type="dxa"/>
            <w:noWrap/>
            <w:hideMark/>
          </w:tcPr>
          <w:p w14:paraId="5AF77143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-5,1</w:t>
            </w:r>
          </w:p>
        </w:tc>
        <w:tc>
          <w:tcPr>
            <w:tcW w:w="1200" w:type="dxa"/>
            <w:noWrap/>
            <w:hideMark/>
          </w:tcPr>
          <w:p w14:paraId="61C0FD2A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-11,2</w:t>
            </w:r>
          </w:p>
        </w:tc>
      </w:tr>
      <w:tr w:rsidR="00283525" w:rsidRPr="00283525" w14:paraId="5C3B3235" w14:textId="77777777" w:rsidTr="73347FD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noWrap/>
            <w:hideMark/>
          </w:tcPr>
          <w:p w14:paraId="4BB50E7F" w14:textId="77777777" w:rsidR="00473D94" w:rsidRPr="00D07DCD" w:rsidRDefault="00473D94" w:rsidP="00D07DCD">
            <w:pPr>
              <w:jc w:val="center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Agosto</w:t>
            </w:r>
          </w:p>
        </w:tc>
        <w:tc>
          <w:tcPr>
            <w:tcW w:w="1360" w:type="dxa"/>
            <w:noWrap/>
            <w:hideMark/>
          </w:tcPr>
          <w:p w14:paraId="7BFA01F0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9,1</w:t>
            </w:r>
          </w:p>
        </w:tc>
        <w:tc>
          <w:tcPr>
            <w:tcW w:w="1259" w:type="dxa"/>
            <w:noWrap/>
            <w:hideMark/>
          </w:tcPr>
          <w:p w14:paraId="4129524B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7,1</w:t>
            </w:r>
          </w:p>
        </w:tc>
        <w:tc>
          <w:tcPr>
            <w:tcW w:w="1468" w:type="dxa"/>
            <w:noWrap/>
            <w:hideMark/>
          </w:tcPr>
          <w:p w14:paraId="6946D5B2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11,7</w:t>
            </w:r>
          </w:p>
        </w:tc>
        <w:tc>
          <w:tcPr>
            <w:tcW w:w="1620" w:type="dxa"/>
            <w:noWrap/>
            <w:hideMark/>
          </w:tcPr>
          <w:p w14:paraId="5D80EE52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1,7</w:t>
            </w:r>
          </w:p>
        </w:tc>
        <w:tc>
          <w:tcPr>
            <w:tcW w:w="1200" w:type="dxa"/>
            <w:noWrap/>
            <w:hideMark/>
          </w:tcPr>
          <w:p w14:paraId="3643A5C4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-4,1</w:t>
            </w:r>
          </w:p>
        </w:tc>
      </w:tr>
      <w:tr w:rsidR="00283525" w:rsidRPr="00283525" w14:paraId="5C836005" w14:textId="77777777" w:rsidTr="73347FD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noWrap/>
            <w:hideMark/>
          </w:tcPr>
          <w:p w14:paraId="66020B92" w14:textId="77777777" w:rsidR="00473D94" w:rsidRPr="00D07DCD" w:rsidRDefault="00473D94" w:rsidP="00D07DCD">
            <w:pPr>
              <w:jc w:val="center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Septiembre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782C497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7,9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noWrap/>
            <w:hideMark/>
          </w:tcPr>
          <w:p w14:paraId="6EBCCBEA" w14:textId="2F33BBCC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7</w:t>
            </w:r>
            <w:r w:rsidR="003D4A70">
              <w:rPr>
                <w:rFonts w:ascii="Nirmala Text" w:eastAsia="Times New Roman" w:hAnsi="Nirmala Text" w:cs="Nirmala Text"/>
                <w:color w:val="000000"/>
                <w:lang w:eastAsia="es-CL"/>
              </w:rPr>
              <w:t>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noWrap/>
            <w:hideMark/>
          </w:tcPr>
          <w:p w14:paraId="5BE7C1F9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7,3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650951EF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-3,8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31992DEB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1,6</w:t>
            </w:r>
          </w:p>
        </w:tc>
      </w:tr>
      <w:tr w:rsidR="00283525" w:rsidRPr="00283525" w14:paraId="5F30701C" w14:textId="77777777" w:rsidTr="73347FD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7077CE1" w14:textId="77777777" w:rsidR="00473D94" w:rsidRPr="00D07DCD" w:rsidRDefault="00473D94" w:rsidP="00D07DCD">
            <w:pPr>
              <w:jc w:val="center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Promedio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4E8E25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6,4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AFE315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6,0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A75499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7,5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6565B8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-2,4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C32AA" w14:textId="77777777" w:rsidR="00473D94" w:rsidRPr="00D07DCD" w:rsidRDefault="00473D94" w:rsidP="00D0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Text" w:eastAsia="Times New Roman" w:hAnsi="Nirmala Text" w:cs="Nirmala Text"/>
                <w:color w:val="000000"/>
                <w:lang w:eastAsia="es-CL"/>
              </w:rPr>
            </w:pPr>
            <w:r w:rsidRPr="00D07DCD">
              <w:rPr>
                <w:rFonts w:ascii="Nirmala Text" w:eastAsia="Times New Roman" w:hAnsi="Nirmala Text" w:cs="Nirmala Text"/>
                <w:color w:val="000000"/>
                <w:lang w:eastAsia="es-CL"/>
              </w:rPr>
              <w:t>-4,6</w:t>
            </w:r>
          </w:p>
        </w:tc>
      </w:tr>
    </w:tbl>
    <w:p w14:paraId="37768541" w14:textId="77777777" w:rsidR="00E621FE" w:rsidRPr="00D07DCD" w:rsidRDefault="00E621FE" w:rsidP="00D6335A">
      <w:pPr>
        <w:jc w:val="center"/>
        <w:rPr>
          <w:rFonts w:ascii="Nirmala Text" w:hAnsi="Nirmala Text" w:cs="Nirmala Text"/>
        </w:rPr>
      </w:pPr>
    </w:p>
    <w:p w14:paraId="1B79B957" w14:textId="77777777" w:rsidR="003B18B0" w:rsidRDefault="003B18B0" w:rsidP="248DA91E">
      <w:pPr>
        <w:spacing w:after="0" w:line="240" w:lineRule="exact"/>
        <w:rPr>
          <w:rFonts w:ascii="Nirmala Text" w:eastAsia="Times New Roman" w:hAnsi="Nirmala Text" w:cs="Nirmala Text"/>
          <w:b/>
          <w:bCs/>
          <w:lang w:eastAsia="es-CL"/>
        </w:rPr>
      </w:pPr>
    </w:p>
    <w:p w14:paraId="4527C4F9" w14:textId="3B53DE08" w:rsidR="00FE1806" w:rsidRPr="00FE1806" w:rsidRDefault="00FE1806" w:rsidP="248DA91E">
      <w:pPr>
        <w:spacing w:after="0" w:line="240" w:lineRule="exact"/>
        <w:rPr>
          <w:rFonts w:ascii="Nirmala Text" w:eastAsia="Times New Roman" w:hAnsi="Nirmala Text" w:cs="Nirmala Text"/>
          <w:b/>
          <w:bCs/>
          <w:lang w:eastAsia="es-CL"/>
        </w:rPr>
      </w:pPr>
      <w:r w:rsidRPr="00FE1806">
        <w:rPr>
          <w:rFonts w:ascii="Nirmala Text" w:eastAsia="Times New Roman" w:hAnsi="Nirmala Text" w:cs="Nirmala Text"/>
          <w:b/>
          <w:bCs/>
          <w:lang w:eastAsia="es-CL"/>
        </w:rPr>
        <w:t>Sobre AGIP</w:t>
      </w:r>
    </w:p>
    <w:p w14:paraId="7947EE40" w14:textId="77777777" w:rsidR="003B18B0" w:rsidRDefault="003B18B0" w:rsidP="73347FDA">
      <w:pPr>
        <w:shd w:val="clear" w:color="auto" w:fill="FFFFFF" w:themeFill="background1"/>
        <w:spacing w:after="0" w:line="240" w:lineRule="exact"/>
        <w:jc w:val="both"/>
        <w:textAlignment w:val="baseline"/>
        <w:rPr>
          <w:rFonts w:ascii="Nirmala Text" w:eastAsia="Times New Roman" w:hAnsi="Nirmala Text" w:cs="Nirmala Text"/>
          <w:i/>
          <w:iCs/>
          <w:lang w:eastAsia="es-CL"/>
        </w:rPr>
      </w:pPr>
    </w:p>
    <w:p w14:paraId="609C9CD5" w14:textId="66482889" w:rsidR="002A7979" w:rsidRDefault="002954B2" w:rsidP="248DA91E">
      <w:pPr>
        <w:shd w:val="clear" w:color="auto" w:fill="FFFFFF" w:themeFill="background1"/>
        <w:spacing w:after="0" w:line="240" w:lineRule="exact"/>
        <w:jc w:val="both"/>
        <w:textAlignment w:val="baseline"/>
        <w:rPr>
          <w:rStyle w:val="Hipervnculo"/>
          <w:rFonts w:ascii="Nirmala Text" w:eastAsia="Times New Roman" w:hAnsi="Nirmala Text" w:cs="Nirmala Text"/>
          <w:i/>
          <w:iCs/>
          <w:lang w:eastAsia="es-CL"/>
        </w:rPr>
      </w:pPr>
      <w:r w:rsidRPr="4433E3DD">
        <w:rPr>
          <w:rFonts w:ascii="Nirmala Text" w:eastAsia="Times New Roman" w:hAnsi="Nirmala Text" w:cs="Nirmala Text"/>
          <w:i/>
          <w:iCs/>
          <w:lang w:eastAsia="es-CL"/>
        </w:rPr>
        <w:t>La AGIP - que opera desde hace más de 20 años y que comenzó con 15 socios- agrupa a empresas proveedoras de los rubros de alimentos, artículos de limpieza de hogar, bebidas, cervezas y licores, artículos de higiene y belleza personal. Para más información, visite</w:t>
      </w:r>
      <w:r w:rsidR="00471468">
        <w:rPr>
          <w:rFonts w:ascii="Nirmala Text" w:eastAsia="Times New Roman" w:hAnsi="Nirmala Text" w:cs="Nirmala Text"/>
          <w:i/>
          <w:iCs/>
          <w:lang w:eastAsia="es-CL"/>
        </w:rPr>
        <w:t xml:space="preserve"> </w:t>
      </w:r>
      <w:hyperlink r:id="rId12" w:history="1">
        <w:r w:rsidR="00471468" w:rsidRPr="00AC1DC4">
          <w:rPr>
            <w:rStyle w:val="Hipervnculo"/>
            <w:rFonts w:ascii="Nirmala Text" w:eastAsia="Times New Roman" w:hAnsi="Nirmala Text" w:cs="Nirmala Text"/>
            <w:i/>
            <w:iCs/>
            <w:lang w:eastAsia="es-CL"/>
          </w:rPr>
          <w:t>www.agipchile.cl</w:t>
        </w:r>
      </w:hyperlink>
      <w:r w:rsidR="00471468">
        <w:rPr>
          <w:rStyle w:val="Hipervnculo"/>
          <w:rFonts w:ascii="Nirmala Text" w:eastAsia="Times New Roman" w:hAnsi="Nirmala Text" w:cs="Nirmala Text"/>
          <w:i/>
          <w:iCs/>
          <w:lang w:eastAsia="es-CL"/>
        </w:rPr>
        <w:t xml:space="preserve"> </w:t>
      </w:r>
      <w:r w:rsidR="00471468" w:rsidRPr="008A2D75">
        <w:rPr>
          <w:rStyle w:val="Hipervnculo"/>
          <w:rFonts w:ascii="Nirmala Text" w:eastAsia="Times New Roman" w:hAnsi="Nirmala Text" w:cs="Nirmala Text"/>
          <w:i/>
          <w:iCs/>
          <w:color w:val="auto"/>
          <w:u w:val="none"/>
          <w:lang w:eastAsia="es-CL"/>
        </w:rPr>
        <w:t>o</w:t>
      </w:r>
      <w:r w:rsidR="008A2D75" w:rsidRPr="008A2D75">
        <w:rPr>
          <w:rStyle w:val="Hipervnculo"/>
          <w:rFonts w:ascii="Nirmala Text" w:eastAsia="Times New Roman" w:hAnsi="Nirmala Text" w:cs="Nirmala Text"/>
          <w:i/>
          <w:iCs/>
          <w:color w:val="auto"/>
          <w:u w:val="none"/>
          <w:lang w:eastAsia="es-CL"/>
        </w:rPr>
        <w:t xml:space="preserve"> el </w:t>
      </w:r>
      <w:hyperlink r:id="rId13" w:history="1">
        <w:r w:rsidR="008A2D75" w:rsidRPr="00480293">
          <w:rPr>
            <w:rStyle w:val="Hipervnculo"/>
            <w:rFonts w:ascii="Nirmala Text" w:eastAsia="Times New Roman" w:hAnsi="Nirmala Text" w:cs="Nirmala Text"/>
            <w:i/>
            <w:iCs/>
            <w:lang w:eastAsia="es-CL"/>
          </w:rPr>
          <w:t>LinkedIn</w:t>
        </w:r>
      </w:hyperlink>
      <w:r w:rsidR="008A2D75" w:rsidRPr="008A2D75">
        <w:rPr>
          <w:rStyle w:val="Hipervnculo"/>
          <w:rFonts w:ascii="Nirmala Text" w:eastAsia="Times New Roman" w:hAnsi="Nirmala Text" w:cs="Nirmala Text"/>
          <w:i/>
          <w:iCs/>
          <w:color w:val="auto"/>
          <w:u w:val="none"/>
          <w:lang w:eastAsia="es-CL"/>
        </w:rPr>
        <w:t>.</w:t>
      </w:r>
    </w:p>
    <w:p w14:paraId="70E3E5ED" w14:textId="77777777" w:rsidR="00503532" w:rsidRDefault="00503532" w:rsidP="248DA91E">
      <w:pPr>
        <w:shd w:val="clear" w:color="auto" w:fill="FFFFFF" w:themeFill="background1"/>
        <w:spacing w:after="0" w:line="240" w:lineRule="exact"/>
        <w:jc w:val="both"/>
        <w:textAlignment w:val="baseline"/>
        <w:rPr>
          <w:rFonts w:ascii="Nirmala Text" w:eastAsia="Times New Roman" w:hAnsi="Nirmala Text" w:cs="Nirmala Text"/>
          <w:b/>
          <w:bCs/>
          <w:lang w:eastAsia="es-CL"/>
        </w:rPr>
      </w:pPr>
    </w:p>
    <w:p w14:paraId="7B2CEC91" w14:textId="77777777" w:rsidR="006C6286" w:rsidRDefault="006C6286"/>
    <w:sectPr w:rsidR="006C628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A985" w14:textId="77777777" w:rsidR="007D1C80" w:rsidRDefault="007D1C80" w:rsidP="00474DB8">
      <w:pPr>
        <w:spacing w:after="0" w:line="240" w:lineRule="auto"/>
      </w:pPr>
      <w:r>
        <w:separator/>
      </w:r>
    </w:p>
  </w:endnote>
  <w:endnote w:type="continuationSeparator" w:id="0">
    <w:p w14:paraId="5E5DB338" w14:textId="77777777" w:rsidR="007D1C80" w:rsidRDefault="007D1C80" w:rsidP="00474DB8">
      <w:pPr>
        <w:spacing w:after="0" w:line="240" w:lineRule="auto"/>
      </w:pPr>
      <w:r>
        <w:continuationSeparator/>
      </w:r>
    </w:p>
  </w:endnote>
  <w:endnote w:type="continuationNotice" w:id="1">
    <w:p w14:paraId="6C41BC07" w14:textId="77777777" w:rsidR="007D1C80" w:rsidRDefault="007D1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641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90517" w14:textId="6A8BF7DF" w:rsidR="007F3684" w:rsidRDefault="007F368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59B18" w14:textId="77777777" w:rsidR="007F3684" w:rsidRDefault="007F3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69E" w14:textId="77777777" w:rsidR="007D1C80" w:rsidRDefault="007D1C80" w:rsidP="00474DB8">
      <w:pPr>
        <w:spacing w:after="0" w:line="240" w:lineRule="auto"/>
      </w:pPr>
      <w:r>
        <w:separator/>
      </w:r>
    </w:p>
  </w:footnote>
  <w:footnote w:type="continuationSeparator" w:id="0">
    <w:p w14:paraId="18303C52" w14:textId="77777777" w:rsidR="007D1C80" w:rsidRDefault="007D1C80" w:rsidP="00474DB8">
      <w:pPr>
        <w:spacing w:after="0" w:line="240" w:lineRule="auto"/>
      </w:pPr>
      <w:r>
        <w:continuationSeparator/>
      </w:r>
    </w:p>
  </w:footnote>
  <w:footnote w:type="continuationNotice" w:id="1">
    <w:p w14:paraId="06DE47A3" w14:textId="77777777" w:rsidR="007D1C80" w:rsidRDefault="007D1C80">
      <w:pPr>
        <w:spacing w:after="0" w:line="240" w:lineRule="auto"/>
      </w:pPr>
    </w:p>
  </w:footnote>
  <w:footnote w:id="2">
    <w:p w14:paraId="5A15627D" w14:textId="36EC3925" w:rsidR="00474DB8" w:rsidRDefault="00474DB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48DA91E" w14:paraId="45294008" w14:textId="77777777" w:rsidTr="00345A01">
      <w:tc>
        <w:tcPr>
          <w:tcW w:w="2945" w:type="dxa"/>
        </w:tcPr>
        <w:p w14:paraId="5415F369" w14:textId="3416444A" w:rsidR="248DA91E" w:rsidRDefault="248DA91E" w:rsidP="00345A01">
          <w:pPr>
            <w:pStyle w:val="Encabezado"/>
            <w:ind w:left="-115"/>
          </w:pPr>
        </w:p>
      </w:tc>
      <w:tc>
        <w:tcPr>
          <w:tcW w:w="2945" w:type="dxa"/>
        </w:tcPr>
        <w:p w14:paraId="1B613AF0" w14:textId="5047DA27" w:rsidR="248DA91E" w:rsidRDefault="248DA91E" w:rsidP="00345A01">
          <w:pPr>
            <w:pStyle w:val="Encabezado"/>
            <w:jc w:val="center"/>
          </w:pPr>
        </w:p>
      </w:tc>
      <w:tc>
        <w:tcPr>
          <w:tcW w:w="2945" w:type="dxa"/>
        </w:tcPr>
        <w:p w14:paraId="5B009BB9" w14:textId="30C8D856" w:rsidR="248DA91E" w:rsidRDefault="00503532" w:rsidP="00345A01">
          <w:pPr>
            <w:pStyle w:val="Encabezado"/>
            <w:ind w:right="-115"/>
            <w:jc w:val="right"/>
          </w:pPr>
          <w:r>
            <w:t>Noviembre de 2022</w:t>
          </w:r>
        </w:p>
      </w:tc>
    </w:tr>
  </w:tbl>
  <w:p w14:paraId="28453CA8" w14:textId="755D0FAD" w:rsidR="002453EB" w:rsidRDefault="00245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7"/>
    <w:rsid w:val="00011602"/>
    <w:rsid w:val="000230DB"/>
    <w:rsid w:val="000312B3"/>
    <w:rsid w:val="0004152C"/>
    <w:rsid w:val="00042BCA"/>
    <w:rsid w:val="0009292F"/>
    <w:rsid w:val="000955C5"/>
    <w:rsid w:val="000F5FB5"/>
    <w:rsid w:val="000F7B32"/>
    <w:rsid w:val="00100ACF"/>
    <w:rsid w:val="00116014"/>
    <w:rsid w:val="001161D1"/>
    <w:rsid w:val="001226BA"/>
    <w:rsid w:val="00124421"/>
    <w:rsid w:val="00165BAB"/>
    <w:rsid w:val="00172389"/>
    <w:rsid w:val="001745C1"/>
    <w:rsid w:val="00174752"/>
    <w:rsid w:val="00176C19"/>
    <w:rsid w:val="00197520"/>
    <w:rsid w:val="001A3DCB"/>
    <w:rsid w:val="001A48D3"/>
    <w:rsid w:val="001B5466"/>
    <w:rsid w:val="001B758E"/>
    <w:rsid w:val="001C6543"/>
    <w:rsid w:val="001D63E0"/>
    <w:rsid w:val="001E0614"/>
    <w:rsid w:val="001E1018"/>
    <w:rsid w:val="001E510F"/>
    <w:rsid w:val="001F0538"/>
    <w:rsid w:val="00206EBA"/>
    <w:rsid w:val="002072A8"/>
    <w:rsid w:val="00215A90"/>
    <w:rsid w:val="002265DE"/>
    <w:rsid w:val="00233AC4"/>
    <w:rsid w:val="00235723"/>
    <w:rsid w:val="002453EB"/>
    <w:rsid w:val="00245860"/>
    <w:rsid w:val="00247879"/>
    <w:rsid w:val="00250146"/>
    <w:rsid w:val="0025645D"/>
    <w:rsid w:val="00261256"/>
    <w:rsid w:val="0026136F"/>
    <w:rsid w:val="00263C4B"/>
    <w:rsid w:val="0026529B"/>
    <w:rsid w:val="00283525"/>
    <w:rsid w:val="00293B30"/>
    <w:rsid w:val="002954B2"/>
    <w:rsid w:val="002A2AA1"/>
    <w:rsid w:val="002A2D5F"/>
    <w:rsid w:val="002A673E"/>
    <w:rsid w:val="002A7979"/>
    <w:rsid w:val="002B3585"/>
    <w:rsid w:val="002B72C3"/>
    <w:rsid w:val="002C0849"/>
    <w:rsid w:val="002C45C3"/>
    <w:rsid w:val="002F6701"/>
    <w:rsid w:val="00300D0A"/>
    <w:rsid w:val="003123BB"/>
    <w:rsid w:val="00321590"/>
    <w:rsid w:val="0034231E"/>
    <w:rsid w:val="003458E7"/>
    <w:rsid w:val="00345A01"/>
    <w:rsid w:val="00347099"/>
    <w:rsid w:val="00355805"/>
    <w:rsid w:val="003706B5"/>
    <w:rsid w:val="00382B80"/>
    <w:rsid w:val="003A63C7"/>
    <w:rsid w:val="003B029C"/>
    <w:rsid w:val="003B18B0"/>
    <w:rsid w:val="003B19F6"/>
    <w:rsid w:val="003B5375"/>
    <w:rsid w:val="003D45AC"/>
    <w:rsid w:val="003D4A70"/>
    <w:rsid w:val="003D7BC7"/>
    <w:rsid w:val="003F5E25"/>
    <w:rsid w:val="003F6ABF"/>
    <w:rsid w:val="00403572"/>
    <w:rsid w:val="00413070"/>
    <w:rsid w:val="0041505A"/>
    <w:rsid w:val="00427213"/>
    <w:rsid w:val="004273AA"/>
    <w:rsid w:val="0043356E"/>
    <w:rsid w:val="0043479E"/>
    <w:rsid w:val="004355D8"/>
    <w:rsid w:val="00443DE2"/>
    <w:rsid w:val="004518A9"/>
    <w:rsid w:val="00460B43"/>
    <w:rsid w:val="00471063"/>
    <w:rsid w:val="00471468"/>
    <w:rsid w:val="00472087"/>
    <w:rsid w:val="00472FC1"/>
    <w:rsid w:val="00473D94"/>
    <w:rsid w:val="00474DB8"/>
    <w:rsid w:val="004773DF"/>
    <w:rsid w:val="00480293"/>
    <w:rsid w:val="004B2BF4"/>
    <w:rsid w:val="004B6640"/>
    <w:rsid w:val="004C5138"/>
    <w:rsid w:val="004D5101"/>
    <w:rsid w:val="004D6D7A"/>
    <w:rsid w:val="004E2C48"/>
    <w:rsid w:val="004F1949"/>
    <w:rsid w:val="00503532"/>
    <w:rsid w:val="00506CD2"/>
    <w:rsid w:val="00523621"/>
    <w:rsid w:val="00526BF8"/>
    <w:rsid w:val="00540A3C"/>
    <w:rsid w:val="0055325D"/>
    <w:rsid w:val="00560D82"/>
    <w:rsid w:val="00561786"/>
    <w:rsid w:val="00565203"/>
    <w:rsid w:val="00572445"/>
    <w:rsid w:val="00574616"/>
    <w:rsid w:val="00580A29"/>
    <w:rsid w:val="00581D09"/>
    <w:rsid w:val="0058423F"/>
    <w:rsid w:val="00584A3D"/>
    <w:rsid w:val="0058657C"/>
    <w:rsid w:val="005867B9"/>
    <w:rsid w:val="00592E27"/>
    <w:rsid w:val="00595BA8"/>
    <w:rsid w:val="005C2661"/>
    <w:rsid w:val="005C299A"/>
    <w:rsid w:val="005C3C62"/>
    <w:rsid w:val="005D75E1"/>
    <w:rsid w:val="005E156C"/>
    <w:rsid w:val="005E372A"/>
    <w:rsid w:val="005E6AC0"/>
    <w:rsid w:val="005F5606"/>
    <w:rsid w:val="005F7CF3"/>
    <w:rsid w:val="00607056"/>
    <w:rsid w:val="00611FBD"/>
    <w:rsid w:val="00620445"/>
    <w:rsid w:val="00632AB1"/>
    <w:rsid w:val="00655746"/>
    <w:rsid w:val="00656528"/>
    <w:rsid w:val="00670B31"/>
    <w:rsid w:val="00671FB8"/>
    <w:rsid w:val="00674ECD"/>
    <w:rsid w:val="006A5DB7"/>
    <w:rsid w:val="006C4E95"/>
    <w:rsid w:val="006C6286"/>
    <w:rsid w:val="006C7B25"/>
    <w:rsid w:val="006F0451"/>
    <w:rsid w:val="006F09A5"/>
    <w:rsid w:val="006F6D9A"/>
    <w:rsid w:val="00700039"/>
    <w:rsid w:val="0071509F"/>
    <w:rsid w:val="00722E79"/>
    <w:rsid w:val="00737F02"/>
    <w:rsid w:val="00743403"/>
    <w:rsid w:val="00747388"/>
    <w:rsid w:val="00760736"/>
    <w:rsid w:val="00785268"/>
    <w:rsid w:val="0078786E"/>
    <w:rsid w:val="00790B5C"/>
    <w:rsid w:val="007A3AEE"/>
    <w:rsid w:val="007A4437"/>
    <w:rsid w:val="007B0EA0"/>
    <w:rsid w:val="007D1C6B"/>
    <w:rsid w:val="007D1C80"/>
    <w:rsid w:val="007D2C53"/>
    <w:rsid w:val="007D445D"/>
    <w:rsid w:val="007E5587"/>
    <w:rsid w:val="007F342A"/>
    <w:rsid w:val="007F3684"/>
    <w:rsid w:val="00833FF1"/>
    <w:rsid w:val="00840F21"/>
    <w:rsid w:val="00854F49"/>
    <w:rsid w:val="00866ECF"/>
    <w:rsid w:val="00875805"/>
    <w:rsid w:val="008A0DAF"/>
    <w:rsid w:val="008A2D75"/>
    <w:rsid w:val="008A7539"/>
    <w:rsid w:val="008D4679"/>
    <w:rsid w:val="008E3544"/>
    <w:rsid w:val="008E370F"/>
    <w:rsid w:val="008F04A5"/>
    <w:rsid w:val="008F74BB"/>
    <w:rsid w:val="009000AB"/>
    <w:rsid w:val="00900A6A"/>
    <w:rsid w:val="0091292A"/>
    <w:rsid w:val="00920609"/>
    <w:rsid w:val="00925D98"/>
    <w:rsid w:val="00934276"/>
    <w:rsid w:val="00945ACD"/>
    <w:rsid w:val="0095487F"/>
    <w:rsid w:val="00963067"/>
    <w:rsid w:val="009650E3"/>
    <w:rsid w:val="009702F9"/>
    <w:rsid w:val="00976504"/>
    <w:rsid w:val="009861B9"/>
    <w:rsid w:val="009948A9"/>
    <w:rsid w:val="00995992"/>
    <w:rsid w:val="009B04A4"/>
    <w:rsid w:val="009B130F"/>
    <w:rsid w:val="009B1E40"/>
    <w:rsid w:val="009B746F"/>
    <w:rsid w:val="009E6C56"/>
    <w:rsid w:val="00A02BDC"/>
    <w:rsid w:val="00A23D2D"/>
    <w:rsid w:val="00A300A7"/>
    <w:rsid w:val="00A51915"/>
    <w:rsid w:val="00A65BB1"/>
    <w:rsid w:val="00A71729"/>
    <w:rsid w:val="00A77F0C"/>
    <w:rsid w:val="00A81674"/>
    <w:rsid w:val="00A84ACE"/>
    <w:rsid w:val="00A85F6C"/>
    <w:rsid w:val="00A95BDF"/>
    <w:rsid w:val="00AA2410"/>
    <w:rsid w:val="00AA5C10"/>
    <w:rsid w:val="00AB4823"/>
    <w:rsid w:val="00AC0E7D"/>
    <w:rsid w:val="00AE3D76"/>
    <w:rsid w:val="00B06B69"/>
    <w:rsid w:val="00B10E4C"/>
    <w:rsid w:val="00B249DF"/>
    <w:rsid w:val="00B46229"/>
    <w:rsid w:val="00B50485"/>
    <w:rsid w:val="00B50E6E"/>
    <w:rsid w:val="00B560EA"/>
    <w:rsid w:val="00B56937"/>
    <w:rsid w:val="00B6334E"/>
    <w:rsid w:val="00B655D9"/>
    <w:rsid w:val="00B8479E"/>
    <w:rsid w:val="00B95BC3"/>
    <w:rsid w:val="00B96E23"/>
    <w:rsid w:val="00BB383D"/>
    <w:rsid w:val="00BF620B"/>
    <w:rsid w:val="00C01A27"/>
    <w:rsid w:val="00C127F6"/>
    <w:rsid w:val="00C25243"/>
    <w:rsid w:val="00C274FE"/>
    <w:rsid w:val="00C33BC0"/>
    <w:rsid w:val="00C37CDD"/>
    <w:rsid w:val="00C47BDA"/>
    <w:rsid w:val="00C54933"/>
    <w:rsid w:val="00C576A0"/>
    <w:rsid w:val="00C66D33"/>
    <w:rsid w:val="00C8111B"/>
    <w:rsid w:val="00C86EF0"/>
    <w:rsid w:val="00C955AF"/>
    <w:rsid w:val="00CC26B1"/>
    <w:rsid w:val="00CC7E7C"/>
    <w:rsid w:val="00CD4EBC"/>
    <w:rsid w:val="00CF0990"/>
    <w:rsid w:val="00D0470D"/>
    <w:rsid w:val="00D07DCD"/>
    <w:rsid w:val="00D14956"/>
    <w:rsid w:val="00D152A7"/>
    <w:rsid w:val="00D32C1C"/>
    <w:rsid w:val="00D4326F"/>
    <w:rsid w:val="00D6335A"/>
    <w:rsid w:val="00D73B16"/>
    <w:rsid w:val="00D83F76"/>
    <w:rsid w:val="00DC10CF"/>
    <w:rsid w:val="00DD0726"/>
    <w:rsid w:val="00DD7B40"/>
    <w:rsid w:val="00DE0FC2"/>
    <w:rsid w:val="00DE6797"/>
    <w:rsid w:val="00DE69D6"/>
    <w:rsid w:val="00E03706"/>
    <w:rsid w:val="00E05BA4"/>
    <w:rsid w:val="00E066B9"/>
    <w:rsid w:val="00E11EA8"/>
    <w:rsid w:val="00E1621C"/>
    <w:rsid w:val="00E21BA9"/>
    <w:rsid w:val="00E21CE7"/>
    <w:rsid w:val="00E3213A"/>
    <w:rsid w:val="00E35E6D"/>
    <w:rsid w:val="00E45D64"/>
    <w:rsid w:val="00E516A6"/>
    <w:rsid w:val="00E51EFE"/>
    <w:rsid w:val="00E53A9A"/>
    <w:rsid w:val="00E557A8"/>
    <w:rsid w:val="00E621FE"/>
    <w:rsid w:val="00E67BAB"/>
    <w:rsid w:val="00E84FB0"/>
    <w:rsid w:val="00E86B81"/>
    <w:rsid w:val="00EA7A5C"/>
    <w:rsid w:val="00EB2DE1"/>
    <w:rsid w:val="00EB6424"/>
    <w:rsid w:val="00EB7F81"/>
    <w:rsid w:val="00EC5F0D"/>
    <w:rsid w:val="00EC6065"/>
    <w:rsid w:val="00ED0F98"/>
    <w:rsid w:val="00ED2E04"/>
    <w:rsid w:val="00ED7D78"/>
    <w:rsid w:val="00EF1CCD"/>
    <w:rsid w:val="00F04110"/>
    <w:rsid w:val="00F14C2D"/>
    <w:rsid w:val="00F3796A"/>
    <w:rsid w:val="00F505EC"/>
    <w:rsid w:val="00F50C3B"/>
    <w:rsid w:val="00F5472A"/>
    <w:rsid w:val="00F56229"/>
    <w:rsid w:val="00F60745"/>
    <w:rsid w:val="00F6577A"/>
    <w:rsid w:val="00F83913"/>
    <w:rsid w:val="00F86431"/>
    <w:rsid w:val="00FA7DC3"/>
    <w:rsid w:val="00FB1ED3"/>
    <w:rsid w:val="00FB460E"/>
    <w:rsid w:val="00FC6A84"/>
    <w:rsid w:val="00FD4EA7"/>
    <w:rsid w:val="00FE1806"/>
    <w:rsid w:val="00FE18E7"/>
    <w:rsid w:val="00FE2C9B"/>
    <w:rsid w:val="00FF1747"/>
    <w:rsid w:val="00FF5555"/>
    <w:rsid w:val="00FF59DF"/>
    <w:rsid w:val="020DA897"/>
    <w:rsid w:val="042FF8B0"/>
    <w:rsid w:val="080F9C1B"/>
    <w:rsid w:val="08161416"/>
    <w:rsid w:val="09A397FF"/>
    <w:rsid w:val="0BA72C51"/>
    <w:rsid w:val="11FD6F98"/>
    <w:rsid w:val="12AEE4C7"/>
    <w:rsid w:val="1533DDE1"/>
    <w:rsid w:val="17792E5C"/>
    <w:rsid w:val="1B323DF4"/>
    <w:rsid w:val="1E2EF189"/>
    <w:rsid w:val="248DA91E"/>
    <w:rsid w:val="2A47AD52"/>
    <w:rsid w:val="2AB53E90"/>
    <w:rsid w:val="2D819F7C"/>
    <w:rsid w:val="35BA55AD"/>
    <w:rsid w:val="4065B3EE"/>
    <w:rsid w:val="40DC6093"/>
    <w:rsid w:val="4433E3DD"/>
    <w:rsid w:val="451330E0"/>
    <w:rsid w:val="45C32875"/>
    <w:rsid w:val="4777BCC1"/>
    <w:rsid w:val="48779B4D"/>
    <w:rsid w:val="498FF342"/>
    <w:rsid w:val="49FA2930"/>
    <w:rsid w:val="5102C1E1"/>
    <w:rsid w:val="5756ECA0"/>
    <w:rsid w:val="59FE6257"/>
    <w:rsid w:val="5B844D2E"/>
    <w:rsid w:val="5C6BF993"/>
    <w:rsid w:val="5FE133DB"/>
    <w:rsid w:val="6CCF941B"/>
    <w:rsid w:val="6D8587EA"/>
    <w:rsid w:val="71160B9C"/>
    <w:rsid w:val="73347FDA"/>
    <w:rsid w:val="735892A4"/>
    <w:rsid w:val="74320983"/>
    <w:rsid w:val="79A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95C30"/>
  <w15:chartTrackingRefBased/>
  <w15:docId w15:val="{F04183AC-A9FC-4728-BF12-0EAC23B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5">
    <w:name w:val="Grid Table 5 Dark Accent 5"/>
    <w:basedOn w:val="Tablanormal"/>
    <w:uiPriority w:val="50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3-nfasis5">
    <w:name w:val="Grid Table 3 Accent 5"/>
    <w:basedOn w:val="Tablanormal"/>
    <w:uiPriority w:val="48"/>
    <w:rsid w:val="00E53A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xtoindependiente2">
    <w:name w:val="Body Text 2"/>
    <w:basedOn w:val="Normal"/>
    <w:link w:val="Textoindependiente2Car"/>
    <w:rsid w:val="004B2BF4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BF4"/>
    <w:rPr>
      <w:rFonts w:ascii="Arial" w:eastAsia="Times New Roman" w:hAnsi="Arial" w:cs="Arial"/>
      <w:szCs w:val="24"/>
      <w:lang w:val="es-ES" w:eastAsia="es-ES"/>
    </w:rPr>
  </w:style>
  <w:style w:type="character" w:styleId="Hipervnculo">
    <w:name w:val="Hyperlink"/>
    <w:rsid w:val="004B2BF4"/>
    <w:rPr>
      <w:color w:val="0000FF"/>
      <w:u w:val="single"/>
    </w:rPr>
  </w:style>
  <w:style w:type="table" w:styleId="Tablaconcuadrcula2-nfasis5">
    <w:name w:val="Grid Table 2 Accent 5"/>
    <w:basedOn w:val="Tablanormal"/>
    <w:uiPriority w:val="47"/>
    <w:rsid w:val="007434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E621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4D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D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4DB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5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229"/>
  </w:style>
  <w:style w:type="paragraph" w:styleId="Piedepgina">
    <w:name w:val="footer"/>
    <w:basedOn w:val="Normal"/>
    <w:link w:val="PiedepginaCar"/>
    <w:uiPriority w:val="99"/>
    <w:unhideWhenUsed/>
    <w:rsid w:val="00F5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29"/>
  </w:style>
  <w:style w:type="paragraph" w:styleId="Revisin">
    <w:name w:val="Revision"/>
    <w:hidden/>
    <w:uiPriority w:val="99"/>
    <w:semiHidden/>
    <w:rsid w:val="00CC26B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835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35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35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5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525"/>
    <w:rPr>
      <w:b/>
      <w:bCs/>
      <w:sz w:val="20"/>
      <w:szCs w:val="20"/>
    </w:rPr>
  </w:style>
  <w:style w:type="table" w:styleId="Tablaconcuadrcula1clara-nfasis1">
    <w:name w:val="Grid Table 1 Light Accent 1"/>
    <w:basedOn w:val="Tablanormal"/>
    <w:uiPriority w:val="46"/>
    <w:rsid w:val="002835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A5DB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45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agip-asociaci%C3%B3n-gremial-de-industrias-proveedora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ipchile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xooos-my.sharepoint.com/personal/admin_nexooos_microsoftonline_com/Documents/Oficina2022/MIrarrazabal/AGIP_A.G/11_noviembre/&#237;ndice%20agip%20agoto,%20spt,%20ctu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exooos-my.sharepoint.com/personal/admin_nexooos_microsoftonline_com/Documents/Oficina2022/MIrarrazabal/AGIP_A.G/11_noviembre/&#237;ndice%20agip%20agoto,%20spt,%20ctu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L"/>
              <a:t>Evolución índice AGIP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Hoja5!$B$7:$B$9</c:f>
              <c:strCache>
                <c:ptCount val="3"/>
                <c:pt idx="0">
                  <c:v>Primer trimestre</c:v>
                </c:pt>
                <c:pt idx="1">
                  <c:v>Segundo trimestre</c:v>
                </c:pt>
                <c:pt idx="2">
                  <c:v>Tercer Trimestre</c:v>
                </c:pt>
              </c:strCache>
            </c:strRef>
          </c:cat>
          <c:val>
            <c:numRef>
              <c:f>Hoja5!$C$7:$C$9</c:f>
              <c:numCache>
                <c:formatCode>General</c:formatCode>
                <c:ptCount val="3"/>
                <c:pt idx="0">
                  <c:v>11.8</c:v>
                </c:pt>
                <c:pt idx="1">
                  <c:v>6.3</c:v>
                </c:pt>
                <c:pt idx="2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D-4DE7-A4B8-2B90C252C6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0529183"/>
        <c:axId val="2100530847"/>
      </c:barChart>
      <c:catAx>
        <c:axId val="2100529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2100530847"/>
        <c:crosses val="autoZero"/>
        <c:auto val="1"/>
        <c:lblAlgn val="ctr"/>
        <c:lblOffset val="100"/>
        <c:noMultiLvlLbl val="0"/>
      </c:catAx>
      <c:valAx>
        <c:axId val="2100530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0529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>
                <a:solidFill>
                  <a:sysClr val="windowText" lastClr="000000"/>
                </a:solidFill>
              </a:rPr>
              <a:t>Índice</a:t>
            </a:r>
            <a:r>
              <a:rPr lang="es-CL" baseline="0">
                <a:solidFill>
                  <a:sysClr val="windowText" lastClr="000000"/>
                </a:solidFill>
              </a:rPr>
              <a:t> AGIP tercer trimetre 2021 vs 2022</a:t>
            </a:r>
            <a:endParaRPr lang="es-CL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Hoja1!$E$13</c:f>
              <c:strCache>
                <c:ptCount val="1"/>
                <c:pt idx="0">
                  <c:v>Índice AGIP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Hoja1!$D$14:$D$17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Promedio</c:v>
                </c:pt>
              </c:strCache>
            </c:strRef>
          </c:cat>
          <c:val>
            <c:numRef>
              <c:f>Hoja1!$E$14:$E$17</c:f>
              <c:numCache>
                <c:formatCode>0.0</c:formatCode>
                <c:ptCount val="4"/>
                <c:pt idx="0">
                  <c:v>24.9</c:v>
                </c:pt>
                <c:pt idx="1">
                  <c:v>17.2</c:v>
                </c:pt>
                <c:pt idx="2">
                  <c:v>14.3</c:v>
                </c:pt>
                <c:pt idx="3">
                  <c:v>18.799999999999997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8B4-B50B-42ED2FD47186}"/>
            </c:ext>
          </c:extLst>
        </c:ser>
        <c:ser>
          <c:idx val="1"/>
          <c:order val="1"/>
          <c:tx>
            <c:strRef>
              <c:f>Hoja1!$F$13</c:f>
              <c:strCache>
                <c:ptCount val="1"/>
                <c:pt idx="0">
                  <c:v>Índice AGIP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Hoja1!$D$14:$D$17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Promedio</c:v>
                </c:pt>
              </c:strCache>
            </c:strRef>
          </c:cat>
          <c:val>
            <c:numRef>
              <c:f>Hoja1!$F$14:$F$17</c:f>
              <c:numCache>
                <c:formatCode>0.0</c:formatCode>
                <c:ptCount val="4"/>
                <c:pt idx="0">
                  <c:v>1.7</c:v>
                </c:pt>
                <c:pt idx="1">
                  <c:v>7.6</c:v>
                </c:pt>
                <c:pt idx="2">
                  <c:v>5.3</c:v>
                </c:pt>
                <c:pt idx="3">
                  <c:v>4.8666666666666663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8B4-B50B-42ED2FD471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8356111"/>
        <c:axId val="278355695"/>
      </c:barChart>
      <c:catAx>
        <c:axId val="278356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278355695"/>
        <c:crosses val="autoZero"/>
        <c:auto val="1"/>
        <c:lblAlgn val="ctr"/>
        <c:lblOffset val="100"/>
        <c:noMultiLvlLbl val="0"/>
      </c:catAx>
      <c:valAx>
        <c:axId val="278355695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8356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CBDF2839C7A34BA32D537B3736C18D" ma:contentTypeVersion="12" ma:contentTypeDescription="Crear nuevo documento." ma:contentTypeScope="" ma:versionID="b892cb8e38f7af7640612404a0574aad">
  <xsd:schema xmlns:xsd="http://www.w3.org/2001/XMLSchema" xmlns:xs="http://www.w3.org/2001/XMLSchema" xmlns:p="http://schemas.microsoft.com/office/2006/metadata/properties" xmlns:ns3="8aac1063-753d-41af-a0d9-91c58dc4673d" xmlns:ns4="6439dcdf-58b8-4c88-8e20-0d5691a599ca" targetNamespace="http://schemas.microsoft.com/office/2006/metadata/properties" ma:root="true" ma:fieldsID="fc776f307d03b5df9813d63da2fd91bb" ns3:_="" ns4:_="">
    <xsd:import namespace="8aac1063-753d-41af-a0d9-91c58dc4673d"/>
    <xsd:import namespace="6439dcdf-58b8-4c88-8e20-0d5691a59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c1063-753d-41af-a0d9-91c58dc46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dcdf-58b8-4c88-8e20-0d5691a59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92FFE-376F-4A8A-B0D6-B30AD2F7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c1063-753d-41af-a0d9-91c58dc4673d"/>
    <ds:schemaRef ds:uri="6439dcdf-58b8-4c88-8e20-0d5691a59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0378E-C8BA-46E4-81D5-E7707883C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7A5A8-9241-4A89-8353-B40EFA416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55ACB-1335-489B-8046-ED7C0D60D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Orpis</dc:creator>
  <cp:keywords/>
  <dc:description/>
  <cp:lastModifiedBy>Anastasia Velez</cp:lastModifiedBy>
  <cp:revision>3</cp:revision>
  <cp:lastPrinted>2022-11-08T21:18:00Z</cp:lastPrinted>
  <dcterms:created xsi:type="dcterms:W3CDTF">2022-11-09T14:29:00Z</dcterms:created>
  <dcterms:modified xsi:type="dcterms:W3CDTF">2023-04-25T16:39:00Z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0x01010060CBDF2839C7A34BA32D537B3736C18D</vt:lpwstr>
  </property>
</Properties>
</file>