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FF12" w14:textId="6CF97F85" w:rsidR="00A73604" w:rsidRPr="00C648BE" w:rsidRDefault="00A73604" w:rsidP="00A73604">
      <w:pPr>
        <w:spacing w:after="0" w:line="240" w:lineRule="auto"/>
        <w:jc w:val="center"/>
        <w:rPr>
          <w:sz w:val="21"/>
          <w:szCs w:val="21"/>
        </w:rPr>
      </w:pPr>
      <w:r w:rsidRPr="00C648BE">
        <w:rPr>
          <w:sz w:val="21"/>
          <w:szCs w:val="21"/>
        </w:rPr>
        <w:t>Índice AGIP:</w:t>
      </w:r>
    </w:p>
    <w:p w14:paraId="3A9E04A2" w14:textId="77777777" w:rsidR="00A73604" w:rsidRPr="00C648BE" w:rsidRDefault="00A73604" w:rsidP="00A73604">
      <w:pPr>
        <w:spacing w:after="0" w:line="240" w:lineRule="auto"/>
        <w:jc w:val="both"/>
        <w:rPr>
          <w:sz w:val="21"/>
          <w:szCs w:val="21"/>
        </w:rPr>
      </w:pPr>
    </w:p>
    <w:p w14:paraId="51DEFAD8" w14:textId="66FF58AB" w:rsidR="00A73604" w:rsidRPr="00C648BE" w:rsidRDefault="00A73604" w:rsidP="00A73604">
      <w:pPr>
        <w:spacing w:after="0" w:line="240" w:lineRule="auto"/>
        <w:jc w:val="center"/>
        <w:rPr>
          <w:b/>
          <w:bCs/>
          <w:sz w:val="28"/>
          <w:szCs w:val="28"/>
        </w:rPr>
      </w:pPr>
      <w:r w:rsidRPr="00C648BE">
        <w:rPr>
          <w:b/>
          <w:bCs/>
          <w:sz w:val="28"/>
          <w:szCs w:val="28"/>
        </w:rPr>
        <w:t>Ventas de industria muestran primeras señales de desaceleración durante primer semestre del 2022</w:t>
      </w:r>
    </w:p>
    <w:p w14:paraId="22CE39FA" w14:textId="77777777" w:rsidR="00A73604" w:rsidRPr="00C648BE" w:rsidRDefault="00A73604" w:rsidP="00A73604">
      <w:pPr>
        <w:spacing w:after="0" w:line="240" w:lineRule="auto"/>
        <w:jc w:val="both"/>
        <w:rPr>
          <w:i/>
          <w:iCs/>
          <w:sz w:val="21"/>
          <w:szCs w:val="21"/>
        </w:rPr>
      </w:pPr>
    </w:p>
    <w:p w14:paraId="5E13E43A" w14:textId="0C5C39B3" w:rsidR="00A73604" w:rsidRPr="00C648BE" w:rsidRDefault="00A73604" w:rsidP="00A73604">
      <w:pPr>
        <w:spacing w:after="0" w:line="240" w:lineRule="auto"/>
        <w:jc w:val="center"/>
        <w:rPr>
          <w:i/>
          <w:iCs/>
          <w:sz w:val="21"/>
          <w:szCs w:val="21"/>
        </w:rPr>
      </w:pPr>
      <w:r w:rsidRPr="00C648BE">
        <w:rPr>
          <w:i/>
          <w:iCs/>
          <w:sz w:val="21"/>
          <w:szCs w:val="21"/>
        </w:rPr>
        <w:t>En junio tres de las cinco categorías medidas registraron una variación negativa en sus ventas lo que no se observaba desde marzo del 2021.</w:t>
      </w:r>
    </w:p>
    <w:p w14:paraId="1BED9C38" w14:textId="3C275EB0" w:rsidR="00A73604" w:rsidRPr="00C648BE" w:rsidRDefault="00000000" w:rsidP="00A73604">
      <w:pPr>
        <w:spacing w:after="0" w:line="240" w:lineRule="auto"/>
        <w:jc w:val="center"/>
        <w:rPr>
          <w:i/>
          <w:iCs/>
          <w:sz w:val="21"/>
          <w:szCs w:val="21"/>
        </w:rPr>
      </w:pPr>
      <w:r>
        <w:rPr>
          <w:i/>
          <w:iCs/>
          <w:sz w:val="21"/>
          <w:szCs w:val="21"/>
        </w:rPr>
        <w:pict w14:anchorId="4D6859B5">
          <v:rect id="_x0000_i1025" style="width:0;height:1.5pt" o:hralign="center" o:hrstd="t" o:hr="t" fillcolor="#a0a0a0" stroked="f"/>
        </w:pict>
      </w:r>
    </w:p>
    <w:p w14:paraId="29DA6C4D" w14:textId="77777777" w:rsidR="00A73604" w:rsidRPr="00C648BE" w:rsidRDefault="00A73604" w:rsidP="00A73604">
      <w:pPr>
        <w:spacing w:after="0" w:line="240" w:lineRule="auto"/>
        <w:jc w:val="both"/>
        <w:rPr>
          <w:sz w:val="21"/>
          <w:szCs w:val="21"/>
        </w:rPr>
      </w:pPr>
    </w:p>
    <w:p w14:paraId="7F986945" w14:textId="491E48C4" w:rsidR="00A73604" w:rsidRPr="00C648BE" w:rsidRDefault="00A73604" w:rsidP="00A73604">
      <w:pPr>
        <w:spacing w:after="0" w:line="240" w:lineRule="auto"/>
        <w:jc w:val="both"/>
        <w:rPr>
          <w:sz w:val="21"/>
          <w:szCs w:val="21"/>
        </w:rPr>
      </w:pPr>
      <w:r w:rsidRPr="00C648BE">
        <w:rPr>
          <w:sz w:val="21"/>
          <w:szCs w:val="21"/>
        </w:rPr>
        <w:t xml:space="preserve">La AGIP dio a conocer su índice de ventas AGIP correspondiente al primer semestre de 2022, periodo en el cual anotó un crecimiento acumulado de un 7,5% nominal, lo que implica un menor ritmo de dinamismo que igual periodo de 2021 en el que las ventas alcanzaron 15,4% de expansión. </w:t>
      </w:r>
    </w:p>
    <w:p w14:paraId="6DA8462A" w14:textId="77777777" w:rsidR="00A73604" w:rsidRPr="00C648BE" w:rsidRDefault="00A73604" w:rsidP="00A73604">
      <w:pPr>
        <w:spacing w:after="0" w:line="240" w:lineRule="auto"/>
        <w:jc w:val="both"/>
        <w:rPr>
          <w:sz w:val="21"/>
          <w:szCs w:val="21"/>
        </w:rPr>
      </w:pPr>
    </w:p>
    <w:p w14:paraId="7349A4A4" w14:textId="653998D0" w:rsidR="00A73604" w:rsidRPr="00C648BE" w:rsidRDefault="00A73604" w:rsidP="00A73604">
      <w:pPr>
        <w:spacing w:after="0" w:line="240" w:lineRule="auto"/>
        <w:jc w:val="both"/>
        <w:rPr>
          <w:sz w:val="21"/>
          <w:szCs w:val="21"/>
        </w:rPr>
      </w:pPr>
      <w:r w:rsidRPr="00C648BE">
        <w:rPr>
          <w:sz w:val="21"/>
          <w:szCs w:val="21"/>
        </w:rPr>
        <w:t xml:space="preserve">Durante el semestre Abarrotes Perecibles lideró las ventas con un 8,1%, seguido por Bebidas, Cervezas y Licores que marcó un 7,4%, Alimentos y Alimentos no abarrotes con un 6,4% y 6,3% respectivamente e Higiene y Belleza con un 5,5%. Estas cifras reflejan una desaceleración al compararlas con igual periodo del 2021 en el que todas las categorías mostraron un mayor dinamismo derivada de un aumento de la demanda. </w:t>
      </w:r>
    </w:p>
    <w:p w14:paraId="5D493307" w14:textId="77777777" w:rsidR="00A73604" w:rsidRPr="00C648BE" w:rsidRDefault="00A73604" w:rsidP="00A73604">
      <w:pPr>
        <w:spacing w:after="0" w:line="240" w:lineRule="auto"/>
        <w:jc w:val="both"/>
        <w:rPr>
          <w:sz w:val="21"/>
          <w:szCs w:val="21"/>
        </w:rPr>
      </w:pPr>
    </w:p>
    <w:p w14:paraId="4BB10828" w14:textId="6B98BAF5" w:rsidR="00A73604" w:rsidRPr="00C648BE" w:rsidRDefault="00A73604" w:rsidP="00A73604">
      <w:pPr>
        <w:spacing w:after="0" w:line="240" w:lineRule="auto"/>
        <w:jc w:val="both"/>
        <w:rPr>
          <w:sz w:val="21"/>
          <w:szCs w:val="21"/>
        </w:rPr>
      </w:pPr>
      <w:r w:rsidRPr="00C648BE">
        <w:rPr>
          <w:sz w:val="21"/>
          <w:szCs w:val="21"/>
        </w:rPr>
        <w:t xml:space="preserve">Al observar el ejercicio 2022 en términos mensuales, es posible advertir que el primer trimestre -febrero (13,1%), enero (10,3%) y marzo (12,1%)- resultó más dinámico que el segundo trimestre en los que la venta a los distintos canales -supermercados, tradicional, detallista, mayorista y horeca- mostró un menor ritmo. De esta manera, el segundo trimestre estuvo impulsado por abril (9%) y mayo (3,9%), ambos con un crecimiento positivo en contraposición al registro de junio (-3,5%).  Esto se explica porque en junio tres categorías registraron una variación negativa, concretamente Abarrotes no alimentos (-2,2%), Higiene y Belleza (-4,3%) y Bebidas, Cervezas y Licores (-14%). </w:t>
      </w:r>
    </w:p>
    <w:p w14:paraId="558E98B8" w14:textId="77777777" w:rsidR="00A73604" w:rsidRPr="00C648BE" w:rsidRDefault="00A73604" w:rsidP="00A73604">
      <w:pPr>
        <w:spacing w:after="0" w:line="240" w:lineRule="auto"/>
        <w:jc w:val="both"/>
        <w:rPr>
          <w:sz w:val="21"/>
          <w:szCs w:val="21"/>
        </w:rPr>
      </w:pPr>
    </w:p>
    <w:p w14:paraId="57943B0B" w14:textId="5C376E48" w:rsidR="00A73604" w:rsidRPr="00C648BE" w:rsidRDefault="00A73604" w:rsidP="00A73604">
      <w:pPr>
        <w:spacing w:after="0" w:line="240" w:lineRule="auto"/>
        <w:jc w:val="both"/>
        <w:rPr>
          <w:sz w:val="21"/>
          <w:szCs w:val="21"/>
        </w:rPr>
      </w:pPr>
      <w:r w:rsidRPr="00C648BE">
        <w:rPr>
          <w:sz w:val="21"/>
          <w:szCs w:val="21"/>
        </w:rPr>
        <w:t>“Por primera vez desde marzo del 2021 el índice AGIP refleja una variación negativa en una de sus categorías. Esto da cuenta de un retroceso en la demanda, principalmente durante junio lo que es una señal de una posible desaceleración”, aseguró Jorge Caorsi, gerente general de AGIP</w:t>
      </w:r>
    </w:p>
    <w:p w14:paraId="1067539D" w14:textId="77777777" w:rsidR="00A73604" w:rsidRPr="00C648BE" w:rsidRDefault="00A73604" w:rsidP="00A73604">
      <w:pPr>
        <w:spacing w:after="0" w:line="240" w:lineRule="auto"/>
        <w:jc w:val="both"/>
        <w:rPr>
          <w:sz w:val="21"/>
          <w:szCs w:val="21"/>
        </w:rPr>
      </w:pPr>
    </w:p>
    <w:p w14:paraId="531FF9DE" w14:textId="77777777" w:rsidR="009C1B88" w:rsidRPr="00C648BE" w:rsidRDefault="00A73604" w:rsidP="00A73604">
      <w:pPr>
        <w:spacing w:after="0" w:line="240" w:lineRule="auto"/>
        <w:jc w:val="both"/>
        <w:rPr>
          <w:sz w:val="21"/>
          <w:szCs w:val="21"/>
        </w:rPr>
      </w:pPr>
      <w:r w:rsidRPr="00C648BE">
        <w:rPr>
          <w:sz w:val="21"/>
          <w:szCs w:val="21"/>
        </w:rPr>
        <w:t xml:space="preserve">Según el líder gremial esto podría explicarse, entre otros motivos, porque “la base de comparación con el 2021 es más alta y porque efectivamente las expectativas económicas de los consumidores son más cautas debido a una mayor inflación y a una política monetaria más restrictiva lo que necesariamente conlleva a una contracción de la demanda de ciertos bienes de consumo”. </w:t>
      </w:r>
    </w:p>
    <w:p w14:paraId="7955334E" w14:textId="77777777" w:rsidR="009C1B88" w:rsidRPr="00C648BE" w:rsidRDefault="009C1B88" w:rsidP="00A73604">
      <w:pPr>
        <w:spacing w:after="0" w:line="240" w:lineRule="auto"/>
        <w:jc w:val="both"/>
        <w:rPr>
          <w:sz w:val="21"/>
          <w:szCs w:val="21"/>
        </w:rPr>
      </w:pPr>
    </w:p>
    <w:p w14:paraId="5810B0F2" w14:textId="5BDD03D2" w:rsidR="00A73604" w:rsidRPr="00C648BE" w:rsidRDefault="00BF6009" w:rsidP="00A73604">
      <w:pPr>
        <w:spacing w:after="0" w:line="240" w:lineRule="auto"/>
        <w:jc w:val="both"/>
        <w:rPr>
          <w:sz w:val="21"/>
          <w:szCs w:val="21"/>
        </w:rPr>
      </w:pPr>
      <w:r w:rsidRPr="00C648BE">
        <w:rPr>
          <w:sz w:val="21"/>
          <w:szCs w:val="21"/>
        </w:rPr>
        <w:t xml:space="preserve">La contracción mostrada en las ventas de las proveedoras va en línea con la tendencia del </w:t>
      </w:r>
      <w:r w:rsidR="00C648BE" w:rsidRPr="00C648BE">
        <w:rPr>
          <w:sz w:val="21"/>
          <w:szCs w:val="21"/>
        </w:rPr>
        <w:t>IMACEC</w:t>
      </w:r>
      <w:r w:rsidRPr="00C648BE">
        <w:rPr>
          <w:sz w:val="21"/>
          <w:szCs w:val="21"/>
        </w:rPr>
        <w:t>. Cabe recordar que este último alcanzó un 3,7%</w:t>
      </w:r>
      <w:r w:rsidR="00C648BE" w:rsidRPr="00C648BE">
        <w:rPr>
          <w:sz w:val="21"/>
          <w:szCs w:val="21"/>
        </w:rPr>
        <w:t xml:space="preserve"> en junio</w:t>
      </w:r>
      <w:r w:rsidRPr="00C648BE">
        <w:rPr>
          <w:sz w:val="21"/>
          <w:szCs w:val="21"/>
        </w:rPr>
        <w:t>,</w:t>
      </w:r>
      <w:r w:rsidR="00C648BE" w:rsidRPr="00C648BE">
        <w:rPr>
          <w:sz w:val="21"/>
          <w:szCs w:val="21"/>
        </w:rPr>
        <w:t xml:space="preserve"> periodo en el que la actividad del comercio tanto en ventas minoristas como mayoristas experimentaron una disminución, según informó el Banco Central.   </w:t>
      </w:r>
    </w:p>
    <w:p w14:paraId="4CFA660C" w14:textId="77777777" w:rsidR="00BF6009" w:rsidRPr="00C648BE" w:rsidRDefault="00BF6009" w:rsidP="00A73604">
      <w:pPr>
        <w:spacing w:after="0" w:line="240" w:lineRule="auto"/>
        <w:jc w:val="both"/>
        <w:rPr>
          <w:sz w:val="21"/>
          <w:szCs w:val="21"/>
        </w:rPr>
      </w:pPr>
    </w:p>
    <w:p w14:paraId="3D40724F" w14:textId="2C5AAAF9" w:rsidR="00285C52" w:rsidRPr="00C648BE" w:rsidRDefault="00A73604" w:rsidP="00A73604">
      <w:pPr>
        <w:spacing w:after="0" w:line="240" w:lineRule="auto"/>
        <w:jc w:val="both"/>
        <w:rPr>
          <w:sz w:val="21"/>
          <w:szCs w:val="21"/>
        </w:rPr>
      </w:pPr>
      <w:r w:rsidRPr="00C648BE">
        <w:rPr>
          <w:sz w:val="21"/>
          <w:szCs w:val="21"/>
        </w:rPr>
        <w:t xml:space="preserve">La AGIP - que opera desde hace más de 20 años y que comenzó con 15 socios- agrupa a empresas proveedoras de los rubros de alimentos, artículos de limpieza de hogar, bebidas, cervezas y licores, artículos de higiene y belleza personal. Para más información, visite </w:t>
      </w:r>
      <w:hyperlink r:id="rId6" w:history="1">
        <w:r w:rsidRPr="00C648BE">
          <w:rPr>
            <w:rStyle w:val="Hipervnculo"/>
            <w:sz w:val="21"/>
            <w:szCs w:val="21"/>
          </w:rPr>
          <w:t>www.agipchile.cl</w:t>
        </w:r>
      </w:hyperlink>
    </w:p>
    <w:p w14:paraId="5F845230" w14:textId="2D5DE3E8" w:rsidR="00A73604" w:rsidRPr="00C648BE" w:rsidRDefault="00A73604" w:rsidP="00A73604">
      <w:pPr>
        <w:spacing w:after="0" w:line="240" w:lineRule="auto"/>
        <w:jc w:val="both"/>
        <w:rPr>
          <w:sz w:val="21"/>
          <w:szCs w:val="21"/>
        </w:rPr>
      </w:pPr>
    </w:p>
    <w:p w14:paraId="1A54A34A" w14:textId="77777777" w:rsidR="00C648BE" w:rsidRDefault="00C648BE" w:rsidP="00316311">
      <w:pPr>
        <w:spacing w:after="0" w:line="240" w:lineRule="auto"/>
        <w:jc w:val="both"/>
        <w:rPr>
          <w:b/>
          <w:bCs/>
          <w:sz w:val="21"/>
          <w:szCs w:val="21"/>
        </w:rPr>
      </w:pPr>
    </w:p>
    <w:p w14:paraId="61756878" w14:textId="7035B6C2" w:rsidR="00316311" w:rsidRPr="00C648BE" w:rsidRDefault="00316311" w:rsidP="00A73604">
      <w:pPr>
        <w:spacing w:after="0" w:line="240" w:lineRule="auto"/>
        <w:jc w:val="both"/>
        <w:rPr>
          <w:sz w:val="21"/>
          <w:szCs w:val="21"/>
          <w:lang w:val="en-US"/>
        </w:rPr>
      </w:pPr>
    </w:p>
    <w:p w14:paraId="57B11148" w14:textId="339537E3" w:rsidR="00316311" w:rsidRPr="00C648BE" w:rsidRDefault="00316311" w:rsidP="00A73604">
      <w:pPr>
        <w:spacing w:after="0" w:line="240" w:lineRule="auto"/>
        <w:jc w:val="both"/>
        <w:rPr>
          <w:sz w:val="21"/>
          <w:szCs w:val="21"/>
          <w:lang w:val="en-US"/>
        </w:rPr>
      </w:pPr>
      <w:r w:rsidRPr="00C648BE">
        <w:rPr>
          <w:noProof/>
          <w:sz w:val="21"/>
          <w:szCs w:val="21"/>
        </w:rPr>
        <w:lastRenderedPageBreak/>
        <w:drawing>
          <wp:inline distT="0" distB="0" distL="0" distR="0" wp14:anchorId="2408156E" wp14:editId="69E4E2BE">
            <wp:extent cx="5716988" cy="2663687"/>
            <wp:effectExtent l="0" t="0" r="17145" b="3810"/>
            <wp:docPr id="1" name="Gráfico 1">
              <a:extLst xmlns:a="http://schemas.openxmlformats.org/drawingml/2006/main">
                <a:ext uri="{FF2B5EF4-FFF2-40B4-BE49-F238E27FC236}">
                  <a16:creationId xmlns:a16="http://schemas.microsoft.com/office/drawing/2014/main" id="{A8E81D39-4F21-93CD-71E4-57D63A2F0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8DC811" w14:textId="204134C1" w:rsidR="00C80484" w:rsidRPr="00C648BE" w:rsidRDefault="00C80484" w:rsidP="00A73604">
      <w:pPr>
        <w:spacing w:after="0" w:line="240" w:lineRule="auto"/>
        <w:jc w:val="both"/>
        <w:rPr>
          <w:sz w:val="21"/>
          <w:szCs w:val="21"/>
          <w:lang w:val="en-US"/>
        </w:rPr>
      </w:pPr>
    </w:p>
    <w:p w14:paraId="00919E45" w14:textId="233307E4" w:rsidR="00C80484" w:rsidRPr="00C648BE" w:rsidRDefault="007532DD" w:rsidP="00A73604">
      <w:pPr>
        <w:spacing w:after="0" w:line="240" w:lineRule="auto"/>
        <w:jc w:val="both"/>
        <w:rPr>
          <w:sz w:val="21"/>
          <w:szCs w:val="21"/>
          <w:lang w:val="en-US"/>
        </w:rPr>
      </w:pPr>
      <w:r w:rsidRPr="00C648BE">
        <w:rPr>
          <w:noProof/>
          <w:sz w:val="21"/>
          <w:szCs w:val="21"/>
        </w:rPr>
        <w:drawing>
          <wp:inline distT="0" distB="0" distL="0" distR="0" wp14:anchorId="0809D1A2" wp14:editId="37D1E2BE">
            <wp:extent cx="5510254" cy="2305878"/>
            <wp:effectExtent l="0" t="0" r="14605" b="18415"/>
            <wp:docPr id="2" name="Gráfico 2">
              <a:extLst xmlns:a="http://schemas.openxmlformats.org/drawingml/2006/main">
                <a:ext uri="{FF2B5EF4-FFF2-40B4-BE49-F238E27FC236}">
                  <a16:creationId xmlns:a16="http://schemas.microsoft.com/office/drawing/2014/main" id="{8DBAB727-404A-8A11-D281-3D2FC5E4DD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C26DF2" w14:textId="4F03A6C5" w:rsidR="005C78AF" w:rsidRPr="00C648BE" w:rsidRDefault="005C78AF" w:rsidP="00A73604">
      <w:pPr>
        <w:spacing w:after="0" w:line="240" w:lineRule="auto"/>
        <w:jc w:val="both"/>
        <w:rPr>
          <w:sz w:val="21"/>
          <w:szCs w:val="21"/>
          <w:lang w:val="en-US"/>
        </w:rPr>
      </w:pPr>
    </w:p>
    <w:tbl>
      <w:tblPr>
        <w:tblW w:w="9222" w:type="dxa"/>
        <w:jc w:val="center"/>
        <w:tblCellMar>
          <w:left w:w="70" w:type="dxa"/>
          <w:right w:w="70" w:type="dxa"/>
        </w:tblCellMar>
        <w:tblLook w:val="04A0" w:firstRow="1" w:lastRow="0" w:firstColumn="1" w:lastColumn="0" w:noHBand="0" w:noVBand="1"/>
      </w:tblPr>
      <w:tblGrid>
        <w:gridCol w:w="2478"/>
        <w:gridCol w:w="1124"/>
        <w:gridCol w:w="1124"/>
        <w:gridCol w:w="1124"/>
        <w:gridCol w:w="1124"/>
        <w:gridCol w:w="1124"/>
        <w:gridCol w:w="1124"/>
      </w:tblGrid>
      <w:tr w:rsidR="005C78AF" w:rsidRPr="00C648BE" w14:paraId="04DA546E" w14:textId="77777777" w:rsidTr="005C78AF">
        <w:trPr>
          <w:trHeight w:val="255"/>
          <w:jc w:val="center"/>
        </w:trPr>
        <w:tc>
          <w:tcPr>
            <w:tcW w:w="247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E691685" w14:textId="77777777" w:rsidR="005C78AF" w:rsidRPr="00C648BE" w:rsidRDefault="005C78AF" w:rsidP="005C78AF">
            <w:pPr>
              <w:spacing w:after="0" w:line="240" w:lineRule="auto"/>
              <w:jc w:val="center"/>
              <w:rPr>
                <w:rFonts w:ascii="Calibri" w:eastAsia="Times New Roman" w:hAnsi="Calibri" w:cs="Calibri"/>
                <w:b/>
                <w:bCs/>
                <w:color w:val="FFFFFF" w:themeColor="background1"/>
                <w:sz w:val="21"/>
                <w:szCs w:val="21"/>
                <w:lang w:eastAsia="es-CL"/>
              </w:rPr>
            </w:pPr>
            <w:r w:rsidRPr="00C648BE">
              <w:rPr>
                <w:rFonts w:ascii="Calibri" w:eastAsia="Times New Roman" w:hAnsi="Calibri" w:cs="Calibri"/>
                <w:b/>
                <w:bCs/>
                <w:color w:val="FFFFFF" w:themeColor="background1"/>
                <w:sz w:val="21"/>
                <w:szCs w:val="21"/>
                <w:lang w:eastAsia="es-CL"/>
              </w:rPr>
              <w:t>Categoría</w:t>
            </w:r>
          </w:p>
        </w:tc>
        <w:tc>
          <w:tcPr>
            <w:tcW w:w="1124" w:type="dxa"/>
            <w:tcBorders>
              <w:top w:val="single" w:sz="4" w:space="0" w:color="auto"/>
              <w:left w:val="nil"/>
              <w:bottom w:val="single" w:sz="4" w:space="0" w:color="auto"/>
              <w:right w:val="single" w:sz="4" w:space="0" w:color="auto"/>
            </w:tcBorders>
            <w:shd w:val="clear" w:color="auto" w:fill="0070C0"/>
            <w:vAlign w:val="center"/>
            <w:hideMark/>
          </w:tcPr>
          <w:p w14:paraId="5091E673" w14:textId="77777777" w:rsidR="005C78AF" w:rsidRPr="00C648BE" w:rsidRDefault="005C78AF" w:rsidP="005C78AF">
            <w:pPr>
              <w:spacing w:after="0" w:line="240" w:lineRule="auto"/>
              <w:jc w:val="center"/>
              <w:rPr>
                <w:rFonts w:ascii="Calibri" w:eastAsia="Times New Roman" w:hAnsi="Calibri" w:cs="Calibri"/>
                <w:b/>
                <w:bCs/>
                <w:color w:val="FFFFFF" w:themeColor="background1"/>
                <w:sz w:val="21"/>
                <w:szCs w:val="21"/>
                <w:lang w:eastAsia="es-CL"/>
              </w:rPr>
            </w:pPr>
            <w:r w:rsidRPr="00C648BE">
              <w:rPr>
                <w:rFonts w:ascii="Calibri" w:eastAsia="Times New Roman" w:hAnsi="Calibri" w:cs="Calibri"/>
                <w:b/>
                <w:bCs/>
                <w:color w:val="FFFFFF" w:themeColor="background1"/>
                <w:sz w:val="21"/>
                <w:szCs w:val="21"/>
                <w:lang w:eastAsia="es-CL"/>
              </w:rPr>
              <w:t>ene-22</w:t>
            </w:r>
          </w:p>
        </w:tc>
        <w:tc>
          <w:tcPr>
            <w:tcW w:w="1124" w:type="dxa"/>
            <w:tcBorders>
              <w:top w:val="single" w:sz="4" w:space="0" w:color="auto"/>
              <w:left w:val="nil"/>
              <w:bottom w:val="single" w:sz="4" w:space="0" w:color="auto"/>
              <w:right w:val="single" w:sz="4" w:space="0" w:color="auto"/>
            </w:tcBorders>
            <w:shd w:val="clear" w:color="auto" w:fill="0070C0"/>
            <w:vAlign w:val="center"/>
            <w:hideMark/>
          </w:tcPr>
          <w:p w14:paraId="0842A69E" w14:textId="77777777" w:rsidR="005C78AF" w:rsidRPr="00C648BE" w:rsidRDefault="005C78AF" w:rsidP="005C78AF">
            <w:pPr>
              <w:spacing w:after="0" w:line="240" w:lineRule="auto"/>
              <w:jc w:val="center"/>
              <w:rPr>
                <w:rFonts w:ascii="Calibri" w:eastAsia="Times New Roman" w:hAnsi="Calibri" w:cs="Calibri"/>
                <w:b/>
                <w:bCs/>
                <w:color w:val="FFFFFF" w:themeColor="background1"/>
                <w:sz w:val="21"/>
                <w:szCs w:val="21"/>
                <w:lang w:eastAsia="es-CL"/>
              </w:rPr>
            </w:pPr>
            <w:r w:rsidRPr="00C648BE">
              <w:rPr>
                <w:rFonts w:ascii="Calibri" w:eastAsia="Times New Roman" w:hAnsi="Calibri" w:cs="Calibri"/>
                <w:b/>
                <w:bCs/>
                <w:color w:val="FFFFFF" w:themeColor="background1"/>
                <w:sz w:val="21"/>
                <w:szCs w:val="21"/>
                <w:lang w:eastAsia="es-CL"/>
              </w:rPr>
              <w:t>feb-22</w:t>
            </w:r>
          </w:p>
        </w:tc>
        <w:tc>
          <w:tcPr>
            <w:tcW w:w="1124" w:type="dxa"/>
            <w:tcBorders>
              <w:top w:val="single" w:sz="4" w:space="0" w:color="auto"/>
              <w:left w:val="nil"/>
              <w:bottom w:val="single" w:sz="4" w:space="0" w:color="auto"/>
              <w:right w:val="single" w:sz="4" w:space="0" w:color="auto"/>
            </w:tcBorders>
            <w:shd w:val="clear" w:color="auto" w:fill="0070C0"/>
            <w:vAlign w:val="center"/>
            <w:hideMark/>
          </w:tcPr>
          <w:p w14:paraId="7FFEB0E5" w14:textId="77777777" w:rsidR="005C78AF" w:rsidRPr="00C648BE" w:rsidRDefault="005C78AF" w:rsidP="005C78AF">
            <w:pPr>
              <w:spacing w:after="0" w:line="240" w:lineRule="auto"/>
              <w:jc w:val="center"/>
              <w:rPr>
                <w:rFonts w:ascii="Calibri" w:eastAsia="Times New Roman" w:hAnsi="Calibri" w:cs="Calibri"/>
                <w:b/>
                <w:bCs/>
                <w:color w:val="FFFFFF" w:themeColor="background1"/>
                <w:sz w:val="21"/>
                <w:szCs w:val="21"/>
                <w:lang w:eastAsia="es-CL"/>
              </w:rPr>
            </w:pPr>
            <w:r w:rsidRPr="00C648BE">
              <w:rPr>
                <w:rFonts w:ascii="Calibri" w:eastAsia="Times New Roman" w:hAnsi="Calibri" w:cs="Calibri"/>
                <w:b/>
                <w:bCs/>
                <w:color w:val="FFFFFF" w:themeColor="background1"/>
                <w:sz w:val="21"/>
                <w:szCs w:val="21"/>
                <w:lang w:eastAsia="es-CL"/>
              </w:rPr>
              <w:t>mar-22</w:t>
            </w:r>
          </w:p>
        </w:tc>
        <w:tc>
          <w:tcPr>
            <w:tcW w:w="1124" w:type="dxa"/>
            <w:tcBorders>
              <w:top w:val="single" w:sz="4" w:space="0" w:color="auto"/>
              <w:left w:val="nil"/>
              <w:bottom w:val="single" w:sz="4" w:space="0" w:color="auto"/>
              <w:right w:val="single" w:sz="4" w:space="0" w:color="auto"/>
            </w:tcBorders>
            <w:shd w:val="clear" w:color="auto" w:fill="0070C0"/>
            <w:vAlign w:val="center"/>
            <w:hideMark/>
          </w:tcPr>
          <w:p w14:paraId="68D5358E" w14:textId="77777777" w:rsidR="005C78AF" w:rsidRPr="00C648BE" w:rsidRDefault="005C78AF" w:rsidP="005C78AF">
            <w:pPr>
              <w:spacing w:after="0" w:line="240" w:lineRule="auto"/>
              <w:jc w:val="center"/>
              <w:rPr>
                <w:rFonts w:ascii="Calibri" w:eastAsia="Times New Roman" w:hAnsi="Calibri" w:cs="Calibri"/>
                <w:b/>
                <w:bCs/>
                <w:color w:val="FFFFFF" w:themeColor="background1"/>
                <w:sz w:val="21"/>
                <w:szCs w:val="21"/>
                <w:lang w:eastAsia="es-CL"/>
              </w:rPr>
            </w:pPr>
            <w:r w:rsidRPr="00C648BE">
              <w:rPr>
                <w:rFonts w:ascii="Calibri" w:eastAsia="Times New Roman" w:hAnsi="Calibri" w:cs="Calibri"/>
                <w:b/>
                <w:bCs/>
                <w:color w:val="FFFFFF" w:themeColor="background1"/>
                <w:sz w:val="21"/>
                <w:szCs w:val="21"/>
                <w:lang w:eastAsia="es-CL"/>
              </w:rPr>
              <w:t>abr-22</w:t>
            </w:r>
          </w:p>
        </w:tc>
        <w:tc>
          <w:tcPr>
            <w:tcW w:w="1124" w:type="dxa"/>
            <w:tcBorders>
              <w:top w:val="single" w:sz="4" w:space="0" w:color="auto"/>
              <w:left w:val="nil"/>
              <w:bottom w:val="single" w:sz="4" w:space="0" w:color="auto"/>
              <w:right w:val="single" w:sz="4" w:space="0" w:color="auto"/>
            </w:tcBorders>
            <w:shd w:val="clear" w:color="auto" w:fill="0070C0"/>
            <w:vAlign w:val="center"/>
            <w:hideMark/>
          </w:tcPr>
          <w:p w14:paraId="567465DF" w14:textId="77777777" w:rsidR="005C78AF" w:rsidRPr="00C648BE" w:rsidRDefault="005C78AF" w:rsidP="005C78AF">
            <w:pPr>
              <w:spacing w:after="0" w:line="240" w:lineRule="auto"/>
              <w:jc w:val="center"/>
              <w:rPr>
                <w:rFonts w:ascii="Calibri" w:eastAsia="Times New Roman" w:hAnsi="Calibri" w:cs="Calibri"/>
                <w:b/>
                <w:bCs/>
                <w:color w:val="FFFFFF" w:themeColor="background1"/>
                <w:sz w:val="21"/>
                <w:szCs w:val="21"/>
                <w:lang w:eastAsia="es-CL"/>
              </w:rPr>
            </w:pPr>
            <w:r w:rsidRPr="00C648BE">
              <w:rPr>
                <w:rFonts w:ascii="Calibri" w:eastAsia="Times New Roman" w:hAnsi="Calibri" w:cs="Calibri"/>
                <w:b/>
                <w:bCs/>
                <w:color w:val="FFFFFF" w:themeColor="background1"/>
                <w:sz w:val="21"/>
                <w:szCs w:val="21"/>
                <w:lang w:eastAsia="es-CL"/>
              </w:rPr>
              <w:t>may-22</w:t>
            </w:r>
          </w:p>
        </w:tc>
        <w:tc>
          <w:tcPr>
            <w:tcW w:w="1124" w:type="dxa"/>
            <w:tcBorders>
              <w:top w:val="single" w:sz="4" w:space="0" w:color="auto"/>
              <w:left w:val="nil"/>
              <w:bottom w:val="single" w:sz="4" w:space="0" w:color="auto"/>
              <w:right w:val="single" w:sz="4" w:space="0" w:color="auto"/>
            </w:tcBorders>
            <w:shd w:val="clear" w:color="auto" w:fill="0070C0"/>
            <w:vAlign w:val="center"/>
            <w:hideMark/>
          </w:tcPr>
          <w:p w14:paraId="4A74FB52" w14:textId="77777777" w:rsidR="005C78AF" w:rsidRPr="00C648BE" w:rsidRDefault="005C78AF" w:rsidP="005C78AF">
            <w:pPr>
              <w:spacing w:after="0" w:line="240" w:lineRule="auto"/>
              <w:jc w:val="center"/>
              <w:rPr>
                <w:rFonts w:ascii="Calibri" w:eastAsia="Times New Roman" w:hAnsi="Calibri" w:cs="Calibri"/>
                <w:b/>
                <w:bCs/>
                <w:color w:val="FFFFFF" w:themeColor="background1"/>
                <w:sz w:val="21"/>
                <w:szCs w:val="21"/>
                <w:lang w:eastAsia="es-CL"/>
              </w:rPr>
            </w:pPr>
            <w:r w:rsidRPr="00C648BE">
              <w:rPr>
                <w:rFonts w:ascii="Calibri" w:eastAsia="Times New Roman" w:hAnsi="Calibri" w:cs="Calibri"/>
                <w:b/>
                <w:bCs/>
                <w:color w:val="FFFFFF" w:themeColor="background1"/>
                <w:sz w:val="21"/>
                <w:szCs w:val="21"/>
                <w:lang w:eastAsia="es-CL"/>
              </w:rPr>
              <w:t>jun-22</w:t>
            </w:r>
          </w:p>
        </w:tc>
      </w:tr>
      <w:tr w:rsidR="005C78AF" w:rsidRPr="00C648BE" w14:paraId="360B6F08" w14:textId="77777777" w:rsidTr="005C78AF">
        <w:trPr>
          <w:trHeight w:val="255"/>
          <w:jc w:val="center"/>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46E5B90E" w14:textId="77777777" w:rsidR="005C78AF" w:rsidRPr="00C648BE" w:rsidRDefault="005C78AF" w:rsidP="005C78AF">
            <w:pPr>
              <w:spacing w:after="0" w:line="240" w:lineRule="auto"/>
              <w:rPr>
                <w:rFonts w:ascii="Calibri" w:eastAsia="Times New Roman" w:hAnsi="Calibri" w:cs="Calibri"/>
                <w:b/>
                <w:bCs/>
                <w:color w:val="000000"/>
                <w:sz w:val="21"/>
                <w:szCs w:val="21"/>
                <w:lang w:eastAsia="es-CL"/>
              </w:rPr>
            </w:pPr>
            <w:r w:rsidRPr="00C648BE">
              <w:rPr>
                <w:rFonts w:ascii="Calibri" w:eastAsia="Times New Roman" w:hAnsi="Calibri" w:cs="Calibri"/>
                <w:b/>
                <w:bCs/>
                <w:color w:val="000000"/>
                <w:sz w:val="21"/>
                <w:szCs w:val="21"/>
                <w:lang w:eastAsia="es-CL"/>
              </w:rPr>
              <w:t>Alimentos</w:t>
            </w:r>
          </w:p>
        </w:tc>
        <w:tc>
          <w:tcPr>
            <w:tcW w:w="1124" w:type="dxa"/>
            <w:tcBorders>
              <w:top w:val="nil"/>
              <w:left w:val="nil"/>
              <w:bottom w:val="single" w:sz="4" w:space="0" w:color="auto"/>
              <w:right w:val="single" w:sz="4" w:space="0" w:color="auto"/>
            </w:tcBorders>
            <w:shd w:val="clear" w:color="auto" w:fill="auto"/>
            <w:noWrap/>
            <w:vAlign w:val="bottom"/>
            <w:hideMark/>
          </w:tcPr>
          <w:p w14:paraId="75F937A8"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9,4</w:t>
            </w:r>
          </w:p>
        </w:tc>
        <w:tc>
          <w:tcPr>
            <w:tcW w:w="1124" w:type="dxa"/>
            <w:tcBorders>
              <w:top w:val="nil"/>
              <w:left w:val="nil"/>
              <w:bottom w:val="single" w:sz="4" w:space="0" w:color="auto"/>
              <w:right w:val="single" w:sz="4" w:space="0" w:color="auto"/>
            </w:tcBorders>
            <w:shd w:val="clear" w:color="auto" w:fill="auto"/>
            <w:noWrap/>
            <w:vAlign w:val="bottom"/>
            <w:hideMark/>
          </w:tcPr>
          <w:p w14:paraId="74D9259C"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9,5</w:t>
            </w:r>
          </w:p>
        </w:tc>
        <w:tc>
          <w:tcPr>
            <w:tcW w:w="1124" w:type="dxa"/>
            <w:tcBorders>
              <w:top w:val="nil"/>
              <w:left w:val="nil"/>
              <w:bottom w:val="single" w:sz="4" w:space="0" w:color="auto"/>
              <w:right w:val="single" w:sz="4" w:space="0" w:color="auto"/>
            </w:tcBorders>
            <w:shd w:val="clear" w:color="auto" w:fill="auto"/>
            <w:noWrap/>
            <w:vAlign w:val="bottom"/>
            <w:hideMark/>
          </w:tcPr>
          <w:p w14:paraId="4984BBFF"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10</w:t>
            </w:r>
          </w:p>
        </w:tc>
        <w:tc>
          <w:tcPr>
            <w:tcW w:w="1124" w:type="dxa"/>
            <w:tcBorders>
              <w:top w:val="nil"/>
              <w:left w:val="nil"/>
              <w:bottom w:val="single" w:sz="4" w:space="0" w:color="auto"/>
              <w:right w:val="single" w:sz="4" w:space="0" w:color="auto"/>
            </w:tcBorders>
            <w:shd w:val="clear" w:color="auto" w:fill="auto"/>
            <w:noWrap/>
            <w:vAlign w:val="bottom"/>
            <w:hideMark/>
          </w:tcPr>
          <w:p w14:paraId="042CF5E4"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8,2</w:t>
            </w:r>
          </w:p>
        </w:tc>
        <w:tc>
          <w:tcPr>
            <w:tcW w:w="1124" w:type="dxa"/>
            <w:tcBorders>
              <w:top w:val="nil"/>
              <w:left w:val="nil"/>
              <w:bottom w:val="single" w:sz="4" w:space="0" w:color="auto"/>
              <w:right w:val="single" w:sz="4" w:space="0" w:color="auto"/>
            </w:tcBorders>
            <w:shd w:val="clear" w:color="auto" w:fill="auto"/>
            <w:noWrap/>
            <w:vAlign w:val="bottom"/>
            <w:hideMark/>
          </w:tcPr>
          <w:p w14:paraId="4BE1CD8C"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1,6</w:t>
            </w:r>
          </w:p>
        </w:tc>
        <w:tc>
          <w:tcPr>
            <w:tcW w:w="1124" w:type="dxa"/>
            <w:tcBorders>
              <w:top w:val="nil"/>
              <w:left w:val="nil"/>
              <w:bottom w:val="single" w:sz="4" w:space="0" w:color="auto"/>
              <w:right w:val="single" w:sz="4" w:space="0" w:color="auto"/>
            </w:tcBorders>
            <w:shd w:val="clear" w:color="auto" w:fill="auto"/>
            <w:noWrap/>
            <w:vAlign w:val="bottom"/>
            <w:hideMark/>
          </w:tcPr>
          <w:p w14:paraId="309743A9"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0</w:t>
            </w:r>
          </w:p>
        </w:tc>
      </w:tr>
      <w:tr w:rsidR="005C78AF" w:rsidRPr="00C648BE" w14:paraId="01D20B31" w14:textId="77777777" w:rsidTr="005C78AF">
        <w:trPr>
          <w:trHeight w:val="255"/>
          <w:jc w:val="center"/>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AF4811" w14:textId="77777777" w:rsidR="005C78AF" w:rsidRPr="00C648BE" w:rsidRDefault="005C78AF" w:rsidP="005C78AF">
            <w:pPr>
              <w:spacing w:after="0" w:line="240" w:lineRule="auto"/>
              <w:rPr>
                <w:rFonts w:ascii="Calibri" w:eastAsia="Times New Roman" w:hAnsi="Calibri" w:cs="Calibri"/>
                <w:b/>
                <w:bCs/>
                <w:color w:val="000000"/>
                <w:sz w:val="21"/>
                <w:szCs w:val="21"/>
                <w:lang w:eastAsia="es-CL"/>
              </w:rPr>
            </w:pPr>
            <w:r w:rsidRPr="00C648BE">
              <w:rPr>
                <w:rFonts w:ascii="Calibri" w:eastAsia="Times New Roman" w:hAnsi="Calibri" w:cs="Calibri"/>
                <w:b/>
                <w:bCs/>
                <w:color w:val="000000"/>
                <w:sz w:val="21"/>
                <w:szCs w:val="21"/>
                <w:lang w:eastAsia="es-CL"/>
              </w:rPr>
              <w:t>Abarrotes no alimentos</w:t>
            </w:r>
          </w:p>
        </w:tc>
        <w:tc>
          <w:tcPr>
            <w:tcW w:w="1124" w:type="dxa"/>
            <w:tcBorders>
              <w:top w:val="nil"/>
              <w:left w:val="nil"/>
              <w:bottom w:val="single" w:sz="4" w:space="0" w:color="auto"/>
              <w:right w:val="single" w:sz="4" w:space="0" w:color="auto"/>
            </w:tcBorders>
            <w:shd w:val="clear" w:color="auto" w:fill="auto"/>
            <w:noWrap/>
            <w:vAlign w:val="bottom"/>
            <w:hideMark/>
          </w:tcPr>
          <w:p w14:paraId="326C9CED"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12,5</w:t>
            </w:r>
          </w:p>
        </w:tc>
        <w:tc>
          <w:tcPr>
            <w:tcW w:w="1124" w:type="dxa"/>
            <w:tcBorders>
              <w:top w:val="nil"/>
              <w:left w:val="nil"/>
              <w:bottom w:val="single" w:sz="4" w:space="0" w:color="auto"/>
              <w:right w:val="single" w:sz="4" w:space="0" w:color="auto"/>
            </w:tcBorders>
            <w:shd w:val="clear" w:color="auto" w:fill="auto"/>
            <w:noWrap/>
            <w:vAlign w:val="bottom"/>
            <w:hideMark/>
          </w:tcPr>
          <w:p w14:paraId="0BCD078B"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7,8</w:t>
            </w:r>
          </w:p>
        </w:tc>
        <w:tc>
          <w:tcPr>
            <w:tcW w:w="1124" w:type="dxa"/>
            <w:tcBorders>
              <w:top w:val="nil"/>
              <w:left w:val="nil"/>
              <w:bottom w:val="single" w:sz="4" w:space="0" w:color="auto"/>
              <w:right w:val="single" w:sz="4" w:space="0" w:color="auto"/>
            </w:tcBorders>
            <w:shd w:val="clear" w:color="auto" w:fill="auto"/>
            <w:noWrap/>
            <w:vAlign w:val="bottom"/>
            <w:hideMark/>
          </w:tcPr>
          <w:p w14:paraId="53A711FF"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10,8</w:t>
            </w:r>
          </w:p>
        </w:tc>
        <w:tc>
          <w:tcPr>
            <w:tcW w:w="1124" w:type="dxa"/>
            <w:tcBorders>
              <w:top w:val="nil"/>
              <w:left w:val="nil"/>
              <w:bottom w:val="single" w:sz="4" w:space="0" w:color="auto"/>
              <w:right w:val="single" w:sz="4" w:space="0" w:color="auto"/>
            </w:tcBorders>
            <w:shd w:val="clear" w:color="auto" w:fill="auto"/>
            <w:noWrap/>
            <w:vAlign w:val="bottom"/>
            <w:hideMark/>
          </w:tcPr>
          <w:p w14:paraId="4B6A4DCF"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8,7</w:t>
            </w:r>
          </w:p>
        </w:tc>
        <w:tc>
          <w:tcPr>
            <w:tcW w:w="1124" w:type="dxa"/>
            <w:tcBorders>
              <w:top w:val="nil"/>
              <w:left w:val="nil"/>
              <w:bottom w:val="single" w:sz="4" w:space="0" w:color="auto"/>
              <w:right w:val="single" w:sz="4" w:space="0" w:color="auto"/>
            </w:tcBorders>
            <w:shd w:val="clear" w:color="auto" w:fill="auto"/>
            <w:noWrap/>
            <w:vAlign w:val="bottom"/>
            <w:hideMark/>
          </w:tcPr>
          <w:p w14:paraId="4837E6CD"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0,6</w:t>
            </w:r>
          </w:p>
        </w:tc>
        <w:tc>
          <w:tcPr>
            <w:tcW w:w="1124" w:type="dxa"/>
            <w:tcBorders>
              <w:top w:val="nil"/>
              <w:left w:val="nil"/>
              <w:bottom w:val="single" w:sz="4" w:space="0" w:color="auto"/>
              <w:right w:val="single" w:sz="4" w:space="0" w:color="auto"/>
            </w:tcBorders>
            <w:shd w:val="clear" w:color="auto" w:fill="auto"/>
            <w:noWrap/>
            <w:vAlign w:val="bottom"/>
            <w:hideMark/>
          </w:tcPr>
          <w:p w14:paraId="239E0FD4"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-2,2</w:t>
            </w:r>
          </w:p>
        </w:tc>
      </w:tr>
      <w:tr w:rsidR="005C78AF" w:rsidRPr="00C648BE" w14:paraId="2F186256" w14:textId="77777777" w:rsidTr="005C78AF">
        <w:trPr>
          <w:trHeight w:val="255"/>
          <w:jc w:val="center"/>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7203FBBD" w14:textId="77777777" w:rsidR="005C78AF" w:rsidRPr="00C648BE" w:rsidRDefault="005C78AF" w:rsidP="005C78AF">
            <w:pPr>
              <w:spacing w:after="0" w:line="240" w:lineRule="auto"/>
              <w:rPr>
                <w:rFonts w:ascii="Calibri" w:eastAsia="Times New Roman" w:hAnsi="Calibri" w:cs="Calibri"/>
                <w:b/>
                <w:bCs/>
                <w:color w:val="000000"/>
                <w:sz w:val="21"/>
                <w:szCs w:val="21"/>
                <w:lang w:eastAsia="es-CL"/>
              </w:rPr>
            </w:pPr>
            <w:r w:rsidRPr="00C648BE">
              <w:rPr>
                <w:rFonts w:ascii="Calibri" w:eastAsia="Times New Roman" w:hAnsi="Calibri" w:cs="Calibri"/>
                <w:b/>
                <w:bCs/>
                <w:color w:val="000000"/>
                <w:sz w:val="21"/>
                <w:szCs w:val="21"/>
                <w:lang w:eastAsia="es-CL"/>
              </w:rPr>
              <w:t>Abarrotes perecibles</w:t>
            </w:r>
          </w:p>
        </w:tc>
        <w:tc>
          <w:tcPr>
            <w:tcW w:w="1124" w:type="dxa"/>
            <w:tcBorders>
              <w:top w:val="nil"/>
              <w:left w:val="nil"/>
              <w:bottom w:val="single" w:sz="4" w:space="0" w:color="auto"/>
              <w:right w:val="single" w:sz="4" w:space="0" w:color="auto"/>
            </w:tcBorders>
            <w:shd w:val="clear" w:color="auto" w:fill="auto"/>
            <w:noWrap/>
            <w:vAlign w:val="bottom"/>
            <w:hideMark/>
          </w:tcPr>
          <w:p w14:paraId="1DDD708F"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8,9</w:t>
            </w:r>
          </w:p>
        </w:tc>
        <w:tc>
          <w:tcPr>
            <w:tcW w:w="1124" w:type="dxa"/>
            <w:tcBorders>
              <w:top w:val="nil"/>
              <w:left w:val="nil"/>
              <w:bottom w:val="single" w:sz="4" w:space="0" w:color="auto"/>
              <w:right w:val="single" w:sz="4" w:space="0" w:color="auto"/>
            </w:tcBorders>
            <w:shd w:val="clear" w:color="auto" w:fill="auto"/>
            <w:noWrap/>
            <w:vAlign w:val="bottom"/>
            <w:hideMark/>
          </w:tcPr>
          <w:p w14:paraId="5333E1E9"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13,3</w:t>
            </w:r>
          </w:p>
        </w:tc>
        <w:tc>
          <w:tcPr>
            <w:tcW w:w="1124" w:type="dxa"/>
            <w:tcBorders>
              <w:top w:val="nil"/>
              <w:left w:val="nil"/>
              <w:bottom w:val="single" w:sz="4" w:space="0" w:color="auto"/>
              <w:right w:val="single" w:sz="4" w:space="0" w:color="auto"/>
            </w:tcBorders>
            <w:shd w:val="clear" w:color="auto" w:fill="auto"/>
            <w:noWrap/>
            <w:vAlign w:val="bottom"/>
            <w:hideMark/>
          </w:tcPr>
          <w:p w14:paraId="086E77D2"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11,6</w:t>
            </w:r>
          </w:p>
        </w:tc>
        <w:tc>
          <w:tcPr>
            <w:tcW w:w="1124" w:type="dxa"/>
            <w:tcBorders>
              <w:top w:val="nil"/>
              <w:left w:val="nil"/>
              <w:bottom w:val="single" w:sz="4" w:space="0" w:color="auto"/>
              <w:right w:val="single" w:sz="4" w:space="0" w:color="auto"/>
            </w:tcBorders>
            <w:shd w:val="clear" w:color="auto" w:fill="auto"/>
            <w:noWrap/>
            <w:vAlign w:val="bottom"/>
            <w:hideMark/>
          </w:tcPr>
          <w:p w14:paraId="10F77468"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7,1</w:t>
            </w:r>
          </w:p>
        </w:tc>
        <w:tc>
          <w:tcPr>
            <w:tcW w:w="1124" w:type="dxa"/>
            <w:tcBorders>
              <w:top w:val="nil"/>
              <w:left w:val="nil"/>
              <w:bottom w:val="single" w:sz="4" w:space="0" w:color="auto"/>
              <w:right w:val="single" w:sz="4" w:space="0" w:color="auto"/>
            </w:tcBorders>
            <w:shd w:val="clear" w:color="auto" w:fill="auto"/>
            <w:noWrap/>
            <w:vAlign w:val="bottom"/>
            <w:hideMark/>
          </w:tcPr>
          <w:p w14:paraId="00396758"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6,2</w:t>
            </w:r>
          </w:p>
        </w:tc>
        <w:tc>
          <w:tcPr>
            <w:tcW w:w="1124" w:type="dxa"/>
            <w:tcBorders>
              <w:top w:val="nil"/>
              <w:left w:val="nil"/>
              <w:bottom w:val="single" w:sz="4" w:space="0" w:color="auto"/>
              <w:right w:val="single" w:sz="4" w:space="0" w:color="auto"/>
            </w:tcBorders>
            <w:shd w:val="clear" w:color="auto" w:fill="auto"/>
            <w:noWrap/>
            <w:vAlign w:val="bottom"/>
            <w:hideMark/>
          </w:tcPr>
          <w:p w14:paraId="353E38DE"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1,5</w:t>
            </w:r>
          </w:p>
        </w:tc>
      </w:tr>
      <w:tr w:rsidR="005C78AF" w:rsidRPr="00C648BE" w14:paraId="36FFFAA9" w14:textId="77777777" w:rsidTr="005C78AF">
        <w:trPr>
          <w:trHeight w:val="255"/>
          <w:jc w:val="center"/>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55813C42" w14:textId="77777777" w:rsidR="005C78AF" w:rsidRPr="00C648BE" w:rsidRDefault="005C78AF" w:rsidP="005C78AF">
            <w:pPr>
              <w:spacing w:after="0" w:line="240" w:lineRule="auto"/>
              <w:rPr>
                <w:rFonts w:ascii="Calibri" w:eastAsia="Times New Roman" w:hAnsi="Calibri" w:cs="Calibri"/>
                <w:b/>
                <w:bCs/>
                <w:color w:val="000000"/>
                <w:sz w:val="21"/>
                <w:szCs w:val="21"/>
                <w:lang w:eastAsia="es-CL"/>
              </w:rPr>
            </w:pPr>
            <w:r w:rsidRPr="00C648BE">
              <w:rPr>
                <w:rFonts w:ascii="Calibri" w:eastAsia="Times New Roman" w:hAnsi="Calibri" w:cs="Calibri"/>
                <w:b/>
                <w:bCs/>
                <w:color w:val="000000"/>
                <w:sz w:val="21"/>
                <w:szCs w:val="21"/>
                <w:lang w:eastAsia="es-CL"/>
              </w:rPr>
              <w:t>Bebidas, cervezas y licores</w:t>
            </w:r>
          </w:p>
        </w:tc>
        <w:tc>
          <w:tcPr>
            <w:tcW w:w="1124" w:type="dxa"/>
            <w:tcBorders>
              <w:top w:val="nil"/>
              <w:left w:val="nil"/>
              <w:bottom w:val="single" w:sz="4" w:space="0" w:color="auto"/>
              <w:right w:val="single" w:sz="4" w:space="0" w:color="auto"/>
            </w:tcBorders>
            <w:shd w:val="clear" w:color="auto" w:fill="auto"/>
            <w:noWrap/>
            <w:vAlign w:val="bottom"/>
            <w:hideMark/>
          </w:tcPr>
          <w:p w14:paraId="59F18099"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12,6</w:t>
            </w:r>
          </w:p>
        </w:tc>
        <w:tc>
          <w:tcPr>
            <w:tcW w:w="1124" w:type="dxa"/>
            <w:tcBorders>
              <w:top w:val="nil"/>
              <w:left w:val="nil"/>
              <w:bottom w:val="single" w:sz="4" w:space="0" w:color="auto"/>
              <w:right w:val="single" w:sz="4" w:space="0" w:color="auto"/>
            </w:tcBorders>
            <w:shd w:val="clear" w:color="auto" w:fill="auto"/>
            <w:noWrap/>
            <w:vAlign w:val="bottom"/>
            <w:hideMark/>
          </w:tcPr>
          <w:p w14:paraId="20DF5882"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19,9</w:t>
            </w:r>
          </w:p>
        </w:tc>
        <w:tc>
          <w:tcPr>
            <w:tcW w:w="1124" w:type="dxa"/>
            <w:tcBorders>
              <w:top w:val="nil"/>
              <w:left w:val="nil"/>
              <w:bottom w:val="single" w:sz="4" w:space="0" w:color="auto"/>
              <w:right w:val="single" w:sz="4" w:space="0" w:color="auto"/>
            </w:tcBorders>
            <w:shd w:val="clear" w:color="auto" w:fill="auto"/>
            <w:noWrap/>
            <w:vAlign w:val="bottom"/>
            <w:hideMark/>
          </w:tcPr>
          <w:p w14:paraId="33532E6C"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17,7</w:t>
            </w:r>
          </w:p>
        </w:tc>
        <w:tc>
          <w:tcPr>
            <w:tcW w:w="1124" w:type="dxa"/>
            <w:tcBorders>
              <w:top w:val="nil"/>
              <w:left w:val="nil"/>
              <w:bottom w:val="single" w:sz="4" w:space="0" w:color="auto"/>
              <w:right w:val="single" w:sz="4" w:space="0" w:color="auto"/>
            </w:tcBorders>
            <w:shd w:val="clear" w:color="auto" w:fill="auto"/>
            <w:noWrap/>
            <w:vAlign w:val="bottom"/>
            <w:hideMark/>
          </w:tcPr>
          <w:p w14:paraId="1928ABBF"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9,9</w:t>
            </w:r>
          </w:p>
        </w:tc>
        <w:tc>
          <w:tcPr>
            <w:tcW w:w="1124" w:type="dxa"/>
            <w:tcBorders>
              <w:top w:val="nil"/>
              <w:left w:val="nil"/>
              <w:bottom w:val="single" w:sz="4" w:space="0" w:color="auto"/>
              <w:right w:val="single" w:sz="4" w:space="0" w:color="auto"/>
            </w:tcBorders>
            <w:shd w:val="clear" w:color="auto" w:fill="auto"/>
            <w:noWrap/>
            <w:vAlign w:val="bottom"/>
            <w:hideMark/>
          </w:tcPr>
          <w:p w14:paraId="48516EF1"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-1,5</w:t>
            </w:r>
          </w:p>
        </w:tc>
        <w:tc>
          <w:tcPr>
            <w:tcW w:w="1124" w:type="dxa"/>
            <w:tcBorders>
              <w:top w:val="nil"/>
              <w:left w:val="nil"/>
              <w:bottom w:val="single" w:sz="4" w:space="0" w:color="auto"/>
              <w:right w:val="single" w:sz="4" w:space="0" w:color="auto"/>
            </w:tcBorders>
            <w:shd w:val="clear" w:color="auto" w:fill="auto"/>
            <w:noWrap/>
            <w:vAlign w:val="bottom"/>
            <w:hideMark/>
          </w:tcPr>
          <w:p w14:paraId="7719E1FF"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-14</w:t>
            </w:r>
          </w:p>
        </w:tc>
      </w:tr>
      <w:tr w:rsidR="005C78AF" w:rsidRPr="00C648BE" w14:paraId="76EAF9FA" w14:textId="77777777" w:rsidTr="005C78AF">
        <w:trPr>
          <w:trHeight w:val="255"/>
          <w:jc w:val="center"/>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153FE529" w14:textId="77777777" w:rsidR="005C78AF" w:rsidRPr="00C648BE" w:rsidRDefault="005C78AF" w:rsidP="005C78AF">
            <w:pPr>
              <w:spacing w:after="0" w:line="240" w:lineRule="auto"/>
              <w:rPr>
                <w:rFonts w:ascii="Calibri" w:eastAsia="Times New Roman" w:hAnsi="Calibri" w:cs="Calibri"/>
                <w:b/>
                <w:bCs/>
                <w:color w:val="000000"/>
                <w:sz w:val="21"/>
                <w:szCs w:val="21"/>
                <w:lang w:eastAsia="es-CL"/>
              </w:rPr>
            </w:pPr>
            <w:r w:rsidRPr="00C648BE">
              <w:rPr>
                <w:rFonts w:ascii="Calibri" w:eastAsia="Times New Roman" w:hAnsi="Calibri" w:cs="Calibri"/>
                <w:b/>
                <w:bCs/>
                <w:color w:val="000000"/>
                <w:sz w:val="21"/>
                <w:szCs w:val="21"/>
                <w:lang w:eastAsia="es-CL"/>
              </w:rPr>
              <w:t>Higiene y belleza</w:t>
            </w:r>
          </w:p>
        </w:tc>
        <w:tc>
          <w:tcPr>
            <w:tcW w:w="1124" w:type="dxa"/>
            <w:tcBorders>
              <w:top w:val="nil"/>
              <w:left w:val="nil"/>
              <w:bottom w:val="single" w:sz="4" w:space="0" w:color="auto"/>
              <w:right w:val="single" w:sz="4" w:space="0" w:color="auto"/>
            </w:tcBorders>
            <w:shd w:val="clear" w:color="auto" w:fill="auto"/>
            <w:noWrap/>
            <w:vAlign w:val="bottom"/>
            <w:hideMark/>
          </w:tcPr>
          <w:p w14:paraId="4F471F79"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0,6</w:t>
            </w:r>
          </w:p>
        </w:tc>
        <w:tc>
          <w:tcPr>
            <w:tcW w:w="1124" w:type="dxa"/>
            <w:tcBorders>
              <w:top w:val="nil"/>
              <w:left w:val="nil"/>
              <w:bottom w:val="single" w:sz="4" w:space="0" w:color="auto"/>
              <w:right w:val="single" w:sz="4" w:space="0" w:color="auto"/>
            </w:tcBorders>
            <w:shd w:val="clear" w:color="auto" w:fill="auto"/>
            <w:noWrap/>
            <w:vAlign w:val="bottom"/>
            <w:hideMark/>
          </w:tcPr>
          <w:p w14:paraId="768F4D08"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13,9</w:t>
            </w:r>
          </w:p>
        </w:tc>
        <w:tc>
          <w:tcPr>
            <w:tcW w:w="1124" w:type="dxa"/>
            <w:tcBorders>
              <w:top w:val="nil"/>
              <w:left w:val="nil"/>
              <w:bottom w:val="single" w:sz="4" w:space="0" w:color="auto"/>
              <w:right w:val="single" w:sz="4" w:space="0" w:color="auto"/>
            </w:tcBorders>
            <w:shd w:val="clear" w:color="auto" w:fill="auto"/>
            <w:noWrap/>
            <w:vAlign w:val="bottom"/>
            <w:hideMark/>
          </w:tcPr>
          <w:p w14:paraId="728B1135"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5,8</w:t>
            </w:r>
          </w:p>
        </w:tc>
        <w:tc>
          <w:tcPr>
            <w:tcW w:w="1124" w:type="dxa"/>
            <w:tcBorders>
              <w:top w:val="nil"/>
              <w:left w:val="nil"/>
              <w:bottom w:val="single" w:sz="4" w:space="0" w:color="auto"/>
              <w:right w:val="single" w:sz="4" w:space="0" w:color="auto"/>
            </w:tcBorders>
            <w:shd w:val="clear" w:color="auto" w:fill="auto"/>
            <w:noWrap/>
            <w:vAlign w:val="bottom"/>
            <w:hideMark/>
          </w:tcPr>
          <w:p w14:paraId="5C200E45" w14:textId="77777777" w:rsidR="005C78AF" w:rsidRPr="00C648BE" w:rsidRDefault="005C78AF" w:rsidP="005C78AF">
            <w:pPr>
              <w:spacing w:after="0" w:line="240" w:lineRule="auto"/>
              <w:jc w:val="center"/>
              <w:rPr>
                <w:rFonts w:ascii="Calibri" w:eastAsia="Times New Roman" w:hAnsi="Calibri" w:cs="Calibri"/>
                <w:color w:val="000000"/>
                <w:sz w:val="21"/>
                <w:szCs w:val="21"/>
                <w:lang w:eastAsia="es-CL"/>
              </w:rPr>
            </w:pPr>
            <w:r w:rsidRPr="00C648BE">
              <w:rPr>
                <w:rFonts w:ascii="Calibri" w:eastAsia="Times New Roman" w:hAnsi="Calibri" w:cs="Calibri"/>
                <w:color w:val="000000"/>
                <w:sz w:val="21"/>
                <w:szCs w:val="21"/>
                <w:lang w:eastAsia="es-CL"/>
              </w:rPr>
              <w:t>15,7</w:t>
            </w:r>
          </w:p>
        </w:tc>
        <w:tc>
          <w:tcPr>
            <w:tcW w:w="1124" w:type="dxa"/>
            <w:tcBorders>
              <w:top w:val="nil"/>
              <w:left w:val="nil"/>
              <w:bottom w:val="single" w:sz="4" w:space="0" w:color="auto"/>
              <w:right w:val="single" w:sz="4" w:space="0" w:color="auto"/>
            </w:tcBorders>
            <w:shd w:val="clear" w:color="auto" w:fill="auto"/>
            <w:noWrap/>
            <w:vAlign w:val="bottom"/>
            <w:hideMark/>
          </w:tcPr>
          <w:p w14:paraId="54D05C2F"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1,3</w:t>
            </w:r>
          </w:p>
        </w:tc>
        <w:tc>
          <w:tcPr>
            <w:tcW w:w="1124" w:type="dxa"/>
            <w:tcBorders>
              <w:top w:val="nil"/>
              <w:left w:val="nil"/>
              <w:bottom w:val="single" w:sz="4" w:space="0" w:color="auto"/>
              <w:right w:val="single" w:sz="4" w:space="0" w:color="auto"/>
            </w:tcBorders>
            <w:shd w:val="clear" w:color="auto" w:fill="auto"/>
            <w:noWrap/>
            <w:vAlign w:val="bottom"/>
            <w:hideMark/>
          </w:tcPr>
          <w:p w14:paraId="586D5F39" w14:textId="77777777" w:rsidR="005C78AF" w:rsidRPr="00C648BE" w:rsidRDefault="005C78AF" w:rsidP="005C78AF">
            <w:pPr>
              <w:spacing w:after="0" w:line="240" w:lineRule="auto"/>
              <w:jc w:val="center"/>
              <w:rPr>
                <w:rFonts w:ascii="Calibri" w:eastAsia="Times New Roman" w:hAnsi="Calibri" w:cs="Calibri"/>
                <w:sz w:val="21"/>
                <w:szCs w:val="21"/>
                <w:lang w:eastAsia="es-CL"/>
              </w:rPr>
            </w:pPr>
            <w:r w:rsidRPr="00C648BE">
              <w:rPr>
                <w:rFonts w:ascii="Calibri" w:eastAsia="Times New Roman" w:hAnsi="Calibri" w:cs="Calibri"/>
                <w:sz w:val="21"/>
                <w:szCs w:val="21"/>
                <w:lang w:eastAsia="es-CL"/>
              </w:rPr>
              <w:t>-4,3</w:t>
            </w:r>
          </w:p>
        </w:tc>
      </w:tr>
    </w:tbl>
    <w:p w14:paraId="5A21B220" w14:textId="77777777" w:rsidR="005C78AF" w:rsidRPr="00C648BE" w:rsidRDefault="005C78AF" w:rsidP="00A73604">
      <w:pPr>
        <w:spacing w:after="0" w:line="240" w:lineRule="auto"/>
        <w:jc w:val="both"/>
        <w:rPr>
          <w:sz w:val="21"/>
          <w:szCs w:val="21"/>
          <w:lang w:val="en-US"/>
        </w:rPr>
      </w:pPr>
    </w:p>
    <w:p w14:paraId="30CF9A83" w14:textId="743CC867" w:rsidR="00C80484" w:rsidRPr="00C648BE" w:rsidRDefault="00C80484" w:rsidP="00A73604">
      <w:pPr>
        <w:spacing w:after="0" w:line="240" w:lineRule="auto"/>
        <w:jc w:val="both"/>
        <w:rPr>
          <w:sz w:val="21"/>
          <w:szCs w:val="21"/>
          <w:lang w:val="en-US"/>
        </w:rPr>
      </w:pPr>
    </w:p>
    <w:p w14:paraId="5AE0FB25" w14:textId="4CDFA739" w:rsidR="007532DD" w:rsidRPr="00C648BE" w:rsidRDefault="007532DD" w:rsidP="00A73604">
      <w:pPr>
        <w:spacing w:after="0" w:line="240" w:lineRule="auto"/>
        <w:jc w:val="both"/>
        <w:rPr>
          <w:sz w:val="21"/>
          <w:szCs w:val="21"/>
          <w:lang w:val="en-US"/>
        </w:rPr>
      </w:pPr>
    </w:p>
    <w:sectPr w:rsidR="007532DD" w:rsidRPr="00C648BE">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B5B2" w14:textId="77777777" w:rsidR="00182109" w:rsidRDefault="00182109" w:rsidP="00A73604">
      <w:pPr>
        <w:spacing w:after="0" w:line="240" w:lineRule="auto"/>
      </w:pPr>
      <w:r>
        <w:separator/>
      </w:r>
    </w:p>
  </w:endnote>
  <w:endnote w:type="continuationSeparator" w:id="0">
    <w:p w14:paraId="3778244A" w14:textId="77777777" w:rsidR="00182109" w:rsidRDefault="00182109" w:rsidP="00A7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A233" w14:textId="77777777" w:rsidR="00C648BE" w:rsidRDefault="00C648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08680"/>
      <w:docPartObj>
        <w:docPartGallery w:val="Page Numbers (Bottom of Page)"/>
        <w:docPartUnique/>
      </w:docPartObj>
    </w:sdtPr>
    <w:sdtContent>
      <w:sdt>
        <w:sdtPr>
          <w:id w:val="-1769616900"/>
          <w:docPartObj>
            <w:docPartGallery w:val="Page Numbers (Top of Page)"/>
            <w:docPartUnique/>
          </w:docPartObj>
        </w:sdtPr>
        <w:sdtContent>
          <w:p w14:paraId="67587E54" w14:textId="38C90C94" w:rsidR="00C648BE" w:rsidRDefault="00C648B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3E03745" w14:textId="77777777" w:rsidR="00C648BE" w:rsidRDefault="00C648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A5BC" w14:textId="77777777" w:rsidR="00C648BE" w:rsidRDefault="00C648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A828" w14:textId="77777777" w:rsidR="00182109" w:rsidRDefault="00182109" w:rsidP="00A73604">
      <w:pPr>
        <w:spacing w:after="0" w:line="240" w:lineRule="auto"/>
      </w:pPr>
      <w:r>
        <w:separator/>
      </w:r>
    </w:p>
  </w:footnote>
  <w:footnote w:type="continuationSeparator" w:id="0">
    <w:p w14:paraId="412269E0" w14:textId="77777777" w:rsidR="00182109" w:rsidRDefault="00182109" w:rsidP="00A7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013B" w14:textId="77777777" w:rsidR="00C648BE" w:rsidRDefault="00C648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7274" w14:textId="11D841B0" w:rsidR="00A73604" w:rsidRDefault="00A73604" w:rsidP="00A73604">
    <w:pPr>
      <w:pStyle w:val="Encabezado"/>
      <w:jc w:val="right"/>
    </w:pPr>
    <w:r>
      <w:t>Comunicado de prensa</w:t>
    </w:r>
  </w:p>
  <w:p w14:paraId="305CAACB" w14:textId="2AF047A8" w:rsidR="00A73604" w:rsidRDefault="00C648BE" w:rsidP="00A73604">
    <w:pPr>
      <w:pStyle w:val="Encabezado"/>
      <w:jc w:val="right"/>
    </w:pPr>
    <w:r>
      <w:t>9</w:t>
    </w:r>
    <w:r w:rsidR="00A73604">
      <w:t xml:space="preserve"> de agosto de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B558" w14:textId="77777777" w:rsidR="00C648BE" w:rsidRDefault="00C648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47"/>
    <w:rsid w:val="000064EE"/>
    <w:rsid w:val="00117C12"/>
    <w:rsid w:val="00182109"/>
    <w:rsid w:val="00201C17"/>
    <w:rsid w:val="00285C52"/>
    <w:rsid w:val="00316311"/>
    <w:rsid w:val="0045781E"/>
    <w:rsid w:val="004A626A"/>
    <w:rsid w:val="00506FAE"/>
    <w:rsid w:val="005C418F"/>
    <w:rsid w:val="005C78AF"/>
    <w:rsid w:val="00685BD5"/>
    <w:rsid w:val="006D5447"/>
    <w:rsid w:val="007532DD"/>
    <w:rsid w:val="00783621"/>
    <w:rsid w:val="008468F3"/>
    <w:rsid w:val="008A35F8"/>
    <w:rsid w:val="00976FED"/>
    <w:rsid w:val="009877C9"/>
    <w:rsid w:val="009C1B88"/>
    <w:rsid w:val="00A73604"/>
    <w:rsid w:val="00AA7693"/>
    <w:rsid w:val="00BF6009"/>
    <w:rsid w:val="00C648BE"/>
    <w:rsid w:val="00C80484"/>
    <w:rsid w:val="00CC1377"/>
    <w:rsid w:val="00D36E86"/>
    <w:rsid w:val="00F401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2954"/>
  <w15:chartTrackingRefBased/>
  <w15:docId w15:val="{BB4CFAE2-8E28-4309-B14E-2F742231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604"/>
  </w:style>
  <w:style w:type="paragraph" w:styleId="Piedepgina">
    <w:name w:val="footer"/>
    <w:basedOn w:val="Normal"/>
    <w:link w:val="PiedepginaCar"/>
    <w:uiPriority w:val="99"/>
    <w:unhideWhenUsed/>
    <w:rsid w:val="00A7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604"/>
  </w:style>
  <w:style w:type="character" w:styleId="Hipervnculo">
    <w:name w:val="Hyperlink"/>
    <w:basedOn w:val="Fuentedeprrafopredeter"/>
    <w:uiPriority w:val="99"/>
    <w:unhideWhenUsed/>
    <w:rsid w:val="00A73604"/>
    <w:rPr>
      <w:color w:val="0563C1" w:themeColor="hyperlink"/>
      <w:u w:val="single"/>
    </w:rPr>
  </w:style>
  <w:style w:type="character" w:styleId="Mencinsinresolver">
    <w:name w:val="Unresolved Mention"/>
    <w:basedOn w:val="Fuentedeprrafopredeter"/>
    <w:uiPriority w:val="99"/>
    <w:semiHidden/>
    <w:unhideWhenUsed/>
    <w:rsid w:val="00A73604"/>
    <w:rPr>
      <w:color w:val="605E5C"/>
      <w:shd w:val="clear" w:color="auto" w:fill="E1DFDD"/>
    </w:rPr>
  </w:style>
  <w:style w:type="character" w:customStyle="1" w:styleId="selectable-text">
    <w:name w:val="selectable-text"/>
    <w:basedOn w:val="Fuentedeprrafopredeter"/>
    <w:rsid w:val="00AA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ipchile.c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nexooos-my.sharepoint.com/personal/admin_nexooos_microsoftonline_com/Documents/Oficina2022/MIrarrazabal/AGIP_A.G/07_Julio/calculos%20indi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exooos-my.sharepoint.com/personal/admin_nexooos_microsoftonline_com/Documents/Oficina2022/MIrarrazabal/AGIP_A.G/07_Julio/calculos%20indic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b="1"/>
              <a:t>Evolución</a:t>
            </a:r>
            <a:r>
              <a:rPr lang="es-CL" b="1" baseline="0"/>
              <a:t> del Índice de ventas AGIP</a:t>
            </a:r>
            <a:endParaRPr lang="es-C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17"/>
              <c:layout>
                <c:manualLayout>
                  <c:x val="-1.3062144568327126E-2"/>
                  <c:y val="2.047660261710503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C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2D-4CFB-A06F-7D7F20DDC0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Hoja1!$H$19:$H$36</c:f>
              <c:strCache>
                <c:ptCount val="18"/>
                <c:pt idx="0">
                  <c:v>En21</c:v>
                </c:pt>
                <c:pt idx="1">
                  <c:v>Feb</c:v>
                </c:pt>
                <c:pt idx="2">
                  <c:v>Mar</c:v>
                </c:pt>
                <c:pt idx="3">
                  <c:v>Abr</c:v>
                </c:pt>
                <c:pt idx="4">
                  <c:v>May</c:v>
                </c:pt>
                <c:pt idx="5">
                  <c:v>Jun</c:v>
                </c:pt>
                <c:pt idx="6">
                  <c:v>Jul</c:v>
                </c:pt>
                <c:pt idx="7">
                  <c:v>Ago</c:v>
                </c:pt>
                <c:pt idx="8">
                  <c:v>Sept</c:v>
                </c:pt>
                <c:pt idx="9">
                  <c:v>Oct</c:v>
                </c:pt>
                <c:pt idx="10">
                  <c:v>Nov</c:v>
                </c:pt>
                <c:pt idx="11">
                  <c:v>Dic</c:v>
                </c:pt>
                <c:pt idx="12">
                  <c:v>En22</c:v>
                </c:pt>
                <c:pt idx="13">
                  <c:v>Feb</c:v>
                </c:pt>
                <c:pt idx="14">
                  <c:v>Mar</c:v>
                </c:pt>
                <c:pt idx="15">
                  <c:v>Abr</c:v>
                </c:pt>
                <c:pt idx="16">
                  <c:v>May</c:v>
                </c:pt>
                <c:pt idx="17">
                  <c:v>Jun</c:v>
                </c:pt>
              </c:strCache>
            </c:strRef>
          </c:cat>
          <c:val>
            <c:numRef>
              <c:f>Hoja1!$I$19:$I$36</c:f>
              <c:numCache>
                <c:formatCode>0.0</c:formatCode>
                <c:ptCount val="18"/>
                <c:pt idx="0">
                  <c:v>8.5</c:v>
                </c:pt>
                <c:pt idx="1">
                  <c:v>12.5</c:v>
                </c:pt>
                <c:pt idx="2">
                  <c:v>8.6999999999999993</c:v>
                </c:pt>
                <c:pt idx="3">
                  <c:v>23</c:v>
                </c:pt>
                <c:pt idx="4">
                  <c:v>18.5</c:v>
                </c:pt>
                <c:pt idx="5">
                  <c:v>21.4</c:v>
                </c:pt>
                <c:pt idx="6">
                  <c:v>24.9</c:v>
                </c:pt>
                <c:pt idx="7">
                  <c:v>17.2</c:v>
                </c:pt>
                <c:pt idx="8">
                  <c:v>14.3</c:v>
                </c:pt>
                <c:pt idx="9">
                  <c:v>13.9</c:v>
                </c:pt>
                <c:pt idx="10">
                  <c:v>17.894467733623767</c:v>
                </c:pt>
                <c:pt idx="11">
                  <c:v>9.6999999999999993</c:v>
                </c:pt>
                <c:pt idx="12">
                  <c:v>10.3</c:v>
                </c:pt>
                <c:pt idx="13">
                  <c:v>13.1</c:v>
                </c:pt>
                <c:pt idx="14">
                  <c:v>12.1</c:v>
                </c:pt>
                <c:pt idx="15">
                  <c:v>9</c:v>
                </c:pt>
                <c:pt idx="16">
                  <c:v>3.9</c:v>
                </c:pt>
                <c:pt idx="17">
                  <c:v>-3.5</c:v>
                </c:pt>
              </c:numCache>
            </c:numRef>
          </c:val>
          <c:smooth val="0"/>
          <c:extLst>
            <c:ext xmlns:c16="http://schemas.microsoft.com/office/drawing/2014/chart" uri="{C3380CC4-5D6E-409C-BE32-E72D297353CC}">
              <c16:uniqueId val="{00000001-C52D-4CFB-A06F-7D7F20DDC0B3}"/>
            </c:ext>
          </c:extLst>
        </c:ser>
        <c:dLbls>
          <c:dLblPos val="t"/>
          <c:showLegendKey val="0"/>
          <c:showVal val="1"/>
          <c:showCatName val="0"/>
          <c:showSerName val="0"/>
          <c:showPercent val="0"/>
          <c:showBubbleSize val="0"/>
        </c:dLbls>
        <c:smooth val="0"/>
        <c:axId val="1370890319"/>
        <c:axId val="1370880751"/>
      </c:lineChart>
      <c:catAx>
        <c:axId val="137089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370880751"/>
        <c:crosses val="autoZero"/>
        <c:auto val="1"/>
        <c:lblAlgn val="ctr"/>
        <c:lblOffset val="100"/>
        <c:noMultiLvlLbl val="0"/>
      </c:catAx>
      <c:valAx>
        <c:axId val="1370880751"/>
        <c:scaling>
          <c:orientation val="minMax"/>
        </c:scaling>
        <c:delete val="1"/>
        <c:axPos val="l"/>
        <c:numFmt formatCode="0.0" sourceLinked="1"/>
        <c:majorTickMark val="none"/>
        <c:minorTickMark val="none"/>
        <c:tickLblPos val="nextTo"/>
        <c:crossAx val="1370890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400" b="1"/>
              <a:t>Primer</a:t>
            </a:r>
            <a:r>
              <a:rPr lang="es-CL" sz="1400" b="1" baseline="0"/>
              <a:t> semestre 2021 vs Primer semestres 2022</a:t>
            </a:r>
            <a:endParaRPr lang="es-CL" sz="1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Hoja2!$A$2</c:f>
              <c:strCache>
                <c:ptCount val="1"/>
                <c:pt idx="0">
                  <c:v>1er sem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Hoja2!$B$1:$F$1</c:f>
              <c:strCache>
                <c:ptCount val="5"/>
                <c:pt idx="0">
                  <c:v>Alimentos</c:v>
                </c:pt>
                <c:pt idx="1">
                  <c:v>Alimentos No Abarrotes</c:v>
                </c:pt>
                <c:pt idx="2">
                  <c:v>Abarrotes Perecibles</c:v>
                </c:pt>
                <c:pt idx="3">
                  <c:v>Bebidas, Cerveza y Licores</c:v>
                </c:pt>
                <c:pt idx="4">
                  <c:v>Higiene y Belleza</c:v>
                </c:pt>
              </c:strCache>
            </c:strRef>
          </c:cat>
          <c:val>
            <c:numRef>
              <c:f>Hoja2!$B$2:$F$2</c:f>
              <c:numCache>
                <c:formatCode>General</c:formatCode>
                <c:ptCount val="5"/>
                <c:pt idx="0">
                  <c:v>10.8</c:v>
                </c:pt>
                <c:pt idx="1">
                  <c:v>10.8</c:v>
                </c:pt>
                <c:pt idx="2">
                  <c:v>12.3</c:v>
                </c:pt>
                <c:pt idx="3">
                  <c:v>32.4</c:v>
                </c:pt>
                <c:pt idx="4">
                  <c:v>23.3</c:v>
                </c:pt>
              </c:numCache>
            </c:numRef>
          </c:val>
          <c:extLst>
            <c:ext xmlns:c16="http://schemas.microsoft.com/office/drawing/2014/chart" uri="{C3380CC4-5D6E-409C-BE32-E72D297353CC}">
              <c16:uniqueId val="{00000000-77F6-4250-885F-395BBEF5A54A}"/>
            </c:ext>
          </c:extLst>
        </c:ser>
        <c:ser>
          <c:idx val="1"/>
          <c:order val="1"/>
          <c:tx>
            <c:strRef>
              <c:f>Hoja2!$A$3</c:f>
              <c:strCache>
                <c:ptCount val="1"/>
                <c:pt idx="0">
                  <c:v>1er sem 2022</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Hoja2!$B$1:$F$1</c:f>
              <c:strCache>
                <c:ptCount val="5"/>
                <c:pt idx="0">
                  <c:v>Alimentos</c:v>
                </c:pt>
                <c:pt idx="1">
                  <c:v>Alimentos No Abarrotes</c:v>
                </c:pt>
                <c:pt idx="2">
                  <c:v>Abarrotes Perecibles</c:v>
                </c:pt>
                <c:pt idx="3">
                  <c:v>Bebidas, Cerveza y Licores</c:v>
                </c:pt>
                <c:pt idx="4">
                  <c:v>Higiene y Belleza</c:v>
                </c:pt>
              </c:strCache>
            </c:strRef>
          </c:cat>
          <c:val>
            <c:numRef>
              <c:f>Hoja2!$B$3:$F$3</c:f>
              <c:numCache>
                <c:formatCode>General</c:formatCode>
                <c:ptCount val="5"/>
                <c:pt idx="0">
                  <c:v>6.45</c:v>
                </c:pt>
                <c:pt idx="1">
                  <c:v>6.36</c:v>
                </c:pt>
                <c:pt idx="2">
                  <c:v>8.1</c:v>
                </c:pt>
                <c:pt idx="3">
                  <c:v>7.43</c:v>
                </c:pt>
                <c:pt idx="4">
                  <c:v>5.5</c:v>
                </c:pt>
              </c:numCache>
            </c:numRef>
          </c:val>
          <c:extLst>
            <c:ext xmlns:c16="http://schemas.microsoft.com/office/drawing/2014/chart" uri="{C3380CC4-5D6E-409C-BE32-E72D297353CC}">
              <c16:uniqueId val="{00000001-77F6-4250-885F-395BBEF5A54A}"/>
            </c:ext>
          </c:extLst>
        </c:ser>
        <c:dLbls>
          <c:dLblPos val="outEnd"/>
          <c:showLegendKey val="0"/>
          <c:showVal val="1"/>
          <c:showCatName val="0"/>
          <c:showSerName val="0"/>
          <c:showPercent val="0"/>
          <c:showBubbleSize val="0"/>
        </c:dLbls>
        <c:gapWidth val="219"/>
        <c:overlap val="-27"/>
        <c:axId val="815034463"/>
        <c:axId val="815036127"/>
      </c:barChart>
      <c:catAx>
        <c:axId val="815034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15036127"/>
        <c:crosses val="autoZero"/>
        <c:auto val="1"/>
        <c:lblAlgn val="ctr"/>
        <c:lblOffset val="100"/>
        <c:noMultiLvlLbl val="0"/>
      </c:catAx>
      <c:valAx>
        <c:axId val="815036127"/>
        <c:scaling>
          <c:orientation val="minMax"/>
        </c:scaling>
        <c:delete val="1"/>
        <c:axPos val="l"/>
        <c:numFmt formatCode="General" sourceLinked="1"/>
        <c:majorTickMark val="none"/>
        <c:minorTickMark val="none"/>
        <c:tickLblPos val="nextTo"/>
        <c:crossAx val="815034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2732</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Irarrazaval</dc:creator>
  <cp:keywords/>
  <dc:description/>
  <cp:lastModifiedBy>Anastasia Velez</cp:lastModifiedBy>
  <cp:revision>3</cp:revision>
  <dcterms:created xsi:type="dcterms:W3CDTF">2022-08-08T20:56:00Z</dcterms:created>
  <dcterms:modified xsi:type="dcterms:W3CDTF">2023-04-25T16:40:00Z</dcterms:modified>
</cp:coreProperties>
</file>