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5152" w14:textId="77777777" w:rsidR="00584C97" w:rsidRPr="00907667" w:rsidRDefault="00584C97" w:rsidP="00584C97">
      <w:pPr>
        <w:spacing w:after="0" w:line="240" w:lineRule="auto"/>
        <w:jc w:val="center"/>
        <w:rPr>
          <w:rFonts w:ascii="Nirmala UI" w:hAnsi="Nirmala UI" w:cs="Nirmala UI"/>
          <w:sz w:val="20"/>
          <w:szCs w:val="20"/>
        </w:rPr>
      </w:pPr>
      <w:r w:rsidRPr="00907667">
        <w:rPr>
          <w:rFonts w:ascii="Nirmala UI" w:hAnsi="Nirmala UI" w:cs="Nirmala UI"/>
          <w:sz w:val="20"/>
          <w:szCs w:val="20"/>
        </w:rPr>
        <w:t>Indicador AGIP:</w:t>
      </w:r>
    </w:p>
    <w:p w14:paraId="38FA75F4" w14:textId="77777777" w:rsidR="00584C97" w:rsidRPr="00907667" w:rsidRDefault="00584C97" w:rsidP="00584C97">
      <w:pPr>
        <w:spacing w:after="0" w:line="240" w:lineRule="auto"/>
        <w:ind w:left="708"/>
        <w:jc w:val="center"/>
        <w:rPr>
          <w:rFonts w:ascii="Nirmala UI" w:hAnsi="Nirmala UI" w:cs="Nirmala UI"/>
          <w:b/>
          <w:sz w:val="20"/>
          <w:szCs w:val="20"/>
        </w:rPr>
      </w:pPr>
    </w:p>
    <w:p w14:paraId="7B8BF033" w14:textId="4B51CE1B" w:rsidR="00584C97" w:rsidRPr="00907667" w:rsidRDefault="00584C97" w:rsidP="00584C97">
      <w:pPr>
        <w:spacing w:after="0" w:line="276" w:lineRule="auto"/>
        <w:ind w:left="708"/>
        <w:jc w:val="center"/>
        <w:rPr>
          <w:rFonts w:ascii="Nirmala UI" w:hAnsi="Nirmala UI" w:cs="Nirmala UI"/>
          <w:b/>
          <w:sz w:val="20"/>
          <w:szCs w:val="20"/>
        </w:rPr>
      </w:pPr>
      <w:r w:rsidRPr="00907667">
        <w:rPr>
          <w:rFonts w:ascii="Nirmala UI" w:hAnsi="Nirmala UI" w:cs="Nirmala UI"/>
          <w:b/>
          <w:sz w:val="20"/>
          <w:szCs w:val="20"/>
        </w:rPr>
        <w:t xml:space="preserve">VENTAS DE LA INDUSTRIA PROVEEDORA PRESENTARON UN CRECIMIENTO </w:t>
      </w:r>
      <w:r w:rsidR="0008014D" w:rsidRPr="00907667">
        <w:rPr>
          <w:rFonts w:ascii="Nirmala UI" w:hAnsi="Nirmala UI" w:cs="Nirmala UI"/>
          <w:b/>
          <w:sz w:val="20"/>
          <w:szCs w:val="20"/>
        </w:rPr>
        <w:t>6,3</w:t>
      </w:r>
      <w:r w:rsidR="002B6CCA" w:rsidRPr="00907667">
        <w:rPr>
          <w:rFonts w:ascii="Nirmala UI" w:hAnsi="Nirmala UI" w:cs="Nirmala UI"/>
          <w:b/>
          <w:sz w:val="20"/>
          <w:szCs w:val="20"/>
        </w:rPr>
        <w:t xml:space="preserve"> </w:t>
      </w:r>
      <w:r w:rsidRPr="00907667">
        <w:rPr>
          <w:rFonts w:ascii="Nirmala UI" w:hAnsi="Nirmala UI" w:cs="Nirmala UI"/>
          <w:b/>
          <w:sz w:val="20"/>
          <w:szCs w:val="20"/>
        </w:rPr>
        <w:t>%</w:t>
      </w:r>
      <w:r w:rsidR="007E7182" w:rsidRPr="00907667">
        <w:rPr>
          <w:rFonts w:ascii="Nirmala UI" w:hAnsi="Nirmala UI" w:cs="Nirmala UI"/>
          <w:b/>
          <w:sz w:val="20"/>
          <w:szCs w:val="20"/>
        </w:rPr>
        <w:t xml:space="preserve"> NOMINAL</w:t>
      </w:r>
      <w:r w:rsidRPr="00907667">
        <w:rPr>
          <w:rFonts w:ascii="Nirmala UI" w:hAnsi="Nirmala UI" w:cs="Nirmala UI"/>
          <w:b/>
          <w:sz w:val="20"/>
          <w:szCs w:val="20"/>
        </w:rPr>
        <w:t xml:space="preserve"> DURANTE EL AÑO 202</w:t>
      </w:r>
      <w:r w:rsidR="0008014D" w:rsidRPr="00907667">
        <w:rPr>
          <w:rFonts w:ascii="Nirmala UI" w:hAnsi="Nirmala UI" w:cs="Nirmala UI"/>
          <w:b/>
          <w:sz w:val="20"/>
          <w:szCs w:val="20"/>
        </w:rPr>
        <w:t>2</w:t>
      </w:r>
    </w:p>
    <w:p w14:paraId="428AC2AC" w14:textId="77777777" w:rsidR="00584C97" w:rsidRPr="00907667" w:rsidRDefault="00584C97" w:rsidP="00584C97">
      <w:pPr>
        <w:pBdr>
          <w:bottom w:val="single" w:sz="4" w:space="1" w:color="auto"/>
        </w:pBdr>
        <w:spacing w:after="0" w:line="240" w:lineRule="auto"/>
        <w:jc w:val="both"/>
        <w:rPr>
          <w:rFonts w:ascii="Nirmala UI" w:hAnsi="Nirmala UI" w:cs="Nirmala UI"/>
          <w:b/>
          <w:i/>
          <w:sz w:val="20"/>
          <w:szCs w:val="20"/>
        </w:rPr>
      </w:pPr>
    </w:p>
    <w:p w14:paraId="605B1AEC" w14:textId="5315096A" w:rsidR="00584C97" w:rsidRPr="00907667" w:rsidRDefault="00584C97" w:rsidP="00584C97">
      <w:pPr>
        <w:pBdr>
          <w:bottom w:val="single" w:sz="4" w:space="1" w:color="auto"/>
        </w:pBdr>
        <w:spacing w:after="0" w:line="240" w:lineRule="auto"/>
        <w:jc w:val="both"/>
        <w:rPr>
          <w:rFonts w:ascii="Nirmala UI" w:hAnsi="Nirmala UI" w:cs="Nirmala UI"/>
          <w:bCs/>
          <w:i/>
          <w:sz w:val="20"/>
          <w:szCs w:val="20"/>
        </w:rPr>
      </w:pPr>
      <w:r w:rsidRPr="00907667">
        <w:rPr>
          <w:rFonts w:ascii="Nirmala UI" w:hAnsi="Nirmala UI" w:cs="Nirmala UI"/>
          <w:bCs/>
          <w:i/>
          <w:sz w:val="20"/>
          <w:szCs w:val="20"/>
        </w:rPr>
        <w:t xml:space="preserve">Las categorías que mostraron mayor dinamismo durante </w:t>
      </w:r>
      <w:r w:rsidR="002B6CCA" w:rsidRPr="00907667">
        <w:rPr>
          <w:rFonts w:ascii="Nirmala UI" w:hAnsi="Nirmala UI" w:cs="Nirmala UI"/>
          <w:bCs/>
          <w:i/>
          <w:sz w:val="20"/>
          <w:szCs w:val="20"/>
        </w:rPr>
        <w:t>el</w:t>
      </w:r>
      <w:r w:rsidRPr="00907667">
        <w:rPr>
          <w:rFonts w:ascii="Nirmala UI" w:hAnsi="Nirmala UI" w:cs="Nirmala UI"/>
          <w:bCs/>
          <w:i/>
          <w:sz w:val="20"/>
          <w:szCs w:val="20"/>
        </w:rPr>
        <w:t xml:space="preserve"> periodo fueron</w:t>
      </w:r>
      <w:r w:rsidR="0008014D" w:rsidRPr="00907667">
        <w:rPr>
          <w:rFonts w:ascii="Nirmala UI" w:hAnsi="Nirmala UI" w:cs="Nirmala UI"/>
          <w:bCs/>
          <w:i/>
          <w:sz w:val="20"/>
          <w:szCs w:val="20"/>
        </w:rPr>
        <w:t xml:space="preserve"> </w:t>
      </w:r>
      <w:r w:rsidR="008A710E" w:rsidRPr="00907667">
        <w:rPr>
          <w:rFonts w:ascii="Nirmala UI" w:hAnsi="Nirmala UI" w:cs="Nirmala UI"/>
          <w:bCs/>
          <w:i/>
          <w:sz w:val="20"/>
          <w:szCs w:val="20"/>
        </w:rPr>
        <w:t>abarrotes perecibles</w:t>
      </w:r>
      <w:r w:rsidR="0008014D" w:rsidRPr="00907667">
        <w:rPr>
          <w:rFonts w:ascii="Nirmala UI" w:hAnsi="Nirmala UI" w:cs="Nirmala UI"/>
          <w:bCs/>
          <w:i/>
          <w:sz w:val="20"/>
          <w:szCs w:val="20"/>
        </w:rPr>
        <w:t xml:space="preserve">, </w:t>
      </w:r>
      <w:r w:rsidRPr="00907667">
        <w:rPr>
          <w:rFonts w:ascii="Nirmala UI" w:hAnsi="Nirmala UI" w:cs="Nirmala UI"/>
          <w:bCs/>
          <w:i/>
          <w:sz w:val="20"/>
          <w:szCs w:val="20"/>
        </w:rPr>
        <w:t xml:space="preserve">seguido de </w:t>
      </w:r>
      <w:r w:rsidR="0008014D" w:rsidRPr="00907667">
        <w:rPr>
          <w:rFonts w:ascii="Nirmala UI" w:hAnsi="Nirmala UI" w:cs="Nirmala UI"/>
          <w:bCs/>
          <w:i/>
          <w:sz w:val="20"/>
          <w:szCs w:val="20"/>
        </w:rPr>
        <w:t>Alimentos y Abarrotes no alimentos.</w:t>
      </w:r>
      <w:r w:rsidR="002B6CCA" w:rsidRPr="00907667">
        <w:rPr>
          <w:rFonts w:ascii="Nirmala UI" w:hAnsi="Nirmala UI" w:cs="Nirmala UI"/>
          <w:bCs/>
          <w:i/>
          <w:sz w:val="20"/>
          <w:szCs w:val="20"/>
        </w:rPr>
        <w:t xml:space="preserve"> </w:t>
      </w:r>
      <w:r w:rsidR="00AE71D1" w:rsidRPr="00907667">
        <w:rPr>
          <w:rFonts w:ascii="Nirmala UI" w:hAnsi="Nirmala UI" w:cs="Nirmala UI"/>
          <w:bCs/>
          <w:i/>
          <w:sz w:val="20"/>
          <w:szCs w:val="20"/>
        </w:rPr>
        <w:t>Para el 202</w:t>
      </w:r>
      <w:r w:rsidR="0008014D" w:rsidRPr="00907667">
        <w:rPr>
          <w:rFonts w:ascii="Nirmala UI" w:hAnsi="Nirmala UI" w:cs="Nirmala UI"/>
          <w:bCs/>
          <w:i/>
          <w:sz w:val="20"/>
          <w:szCs w:val="20"/>
        </w:rPr>
        <w:t>3</w:t>
      </w:r>
      <w:r w:rsidR="00AE71D1" w:rsidRPr="00907667">
        <w:rPr>
          <w:rFonts w:ascii="Nirmala UI" w:hAnsi="Nirmala UI" w:cs="Nirmala UI"/>
          <w:bCs/>
          <w:i/>
          <w:sz w:val="20"/>
          <w:szCs w:val="20"/>
        </w:rPr>
        <w:t xml:space="preserve"> el gremio proyecta un escenario de crecimiento más cauto </w:t>
      </w:r>
      <w:r w:rsidR="00CF0D9C" w:rsidRPr="00907667">
        <w:rPr>
          <w:rFonts w:ascii="Nirmala UI" w:hAnsi="Nirmala UI" w:cs="Nirmala UI"/>
          <w:bCs/>
          <w:i/>
          <w:sz w:val="20"/>
          <w:szCs w:val="20"/>
        </w:rPr>
        <w:t xml:space="preserve">por </w:t>
      </w:r>
      <w:r w:rsidR="00403AB7" w:rsidRPr="00907667">
        <w:rPr>
          <w:rFonts w:ascii="Nirmala UI" w:hAnsi="Nirmala UI" w:cs="Nirmala UI"/>
          <w:bCs/>
          <w:i/>
          <w:sz w:val="20"/>
          <w:szCs w:val="20"/>
        </w:rPr>
        <w:t>la presión inflacionaria existente</w:t>
      </w:r>
      <w:r w:rsidR="00502E05">
        <w:rPr>
          <w:rFonts w:ascii="Nirmala UI" w:hAnsi="Nirmala UI" w:cs="Nirmala UI"/>
          <w:bCs/>
          <w:i/>
          <w:sz w:val="20"/>
          <w:szCs w:val="20"/>
        </w:rPr>
        <w:t>,</w:t>
      </w:r>
      <w:r w:rsidR="00403AB7" w:rsidRPr="00907667">
        <w:rPr>
          <w:rFonts w:ascii="Nirmala UI" w:hAnsi="Nirmala UI" w:cs="Nirmala UI"/>
          <w:bCs/>
          <w:i/>
          <w:sz w:val="20"/>
          <w:szCs w:val="20"/>
        </w:rPr>
        <w:t xml:space="preserve"> y </w:t>
      </w:r>
      <w:r w:rsidR="00D461B9" w:rsidRPr="00907667">
        <w:rPr>
          <w:rFonts w:ascii="Nirmala UI" w:hAnsi="Nirmala UI" w:cs="Nirmala UI"/>
          <w:bCs/>
          <w:i/>
          <w:sz w:val="20"/>
          <w:szCs w:val="20"/>
        </w:rPr>
        <w:t xml:space="preserve">por un posible impacto en la inversión y en el empleo la discusión de reformas. </w:t>
      </w:r>
    </w:p>
    <w:p w14:paraId="2224B2CB" w14:textId="77777777" w:rsidR="00584C97" w:rsidRPr="00907667" w:rsidRDefault="00584C97" w:rsidP="00584C97">
      <w:pPr>
        <w:pBdr>
          <w:bottom w:val="single" w:sz="4" w:space="1" w:color="auto"/>
        </w:pBdr>
        <w:spacing w:after="0" w:line="240" w:lineRule="auto"/>
        <w:jc w:val="both"/>
        <w:rPr>
          <w:rFonts w:ascii="Nirmala UI" w:hAnsi="Nirmala UI" w:cs="Nirmala UI"/>
          <w:b/>
          <w:i/>
          <w:color w:val="FF0000"/>
          <w:sz w:val="20"/>
          <w:szCs w:val="20"/>
        </w:rPr>
      </w:pPr>
    </w:p>
    <w:p w14:paraId="74EBCE2A" w14:textId="77777777" w:rsidR="00584C97" w:rsidRPr="00907667" w:rsidRDefault="00584C97" w:rsidP="00584C97">
      <w:pPr>
        <w:spacing w:after="0" w:line="240" w:lineRule="auto"/>
        <w:jc w:val="both"/>
        <w:rPr>
          <w:rFonts w:ascii="Nirmala UI" w:hAnsi="Nirmala UI" w:cs="Nirmala UI"/>
          <w:b/>
          <w:i/>
          <w:color w:val="FF0000"/>
          <w:sz w:val="20"/>
          <w:szCs w:val="20"/>
        </w:rPr>
      </w:pPr>
    </w:p>
    <w:p w14:paraId="155118D9" w14:textId="43D31884" w:rsidR="00584C97" w:rsidRPr="00907667" w:rsidRDefault="00584C97" w:rsidP="00584C9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sz w:val="20"/>
          <w:szCs w:val="20"/>
        </w:rPr>
      </w:pPr>
      <w:r w:rsidRPr="00907667">
        <w:rPr>
          <w:rFonts w:ascii="Nirmala UI" w:hAnsi="Nirmala UI" w:cs="Nirmala UI"/>
          <w:sz w:val="20"/>
          <w:szCs w:val="20"/>
        </w:rPr>
        <w:t xml:space="preserve">Las ventas de las principales empresas proveedoras, agrupadas en la Asociación Gremial de Industrias Proveedoras (AGIP), tuvieron un crecimiento promedio anual de un </w:t>
      </w:r>
      <w:r w:rsidR="008A710E" w:rsidRPr="00907667">
        <w:rPr>
          <w:rFonts w:ascii="Nirmala UI" w:hAnsi="Nirmala UI" w:cs="Nirmala UI"/>
          <w:sz w:val="20"/>
          <w:szCs w:val="20"/>
        </w:rPr>
        <w:t>6,3</w:t>
      </w:r>
      <w:r w:rsidRPr="00907667">
        <w:rPr>
          <w:rFonts w:ascii="Nirmala UI" w:hAnsi="Nirmala UI" w:cs="Nirmala UI"/>
          <w:sz w:val="20"/>
          <w:szCs w:val="20"/>
        </w:rPr>
        <w:t>% nominal durante el año 202</w:t>
      </w:r>
      <w:r w:rsidR="008A710E" w:rsidRPr="00907667">
        <w:rPr>
          <w:rFonts w:ascii="Nirmala UI" w:hAnsi="Nirmala UI" w:cs="Nirmala UI"/>
          <w:sz w:val="20"/>
          <w:szCs w:val="20"/>
        </w:rPr>
        <w:t>2</w:t>
      </w:r>
      <w:r w:rsidR="00CF61DC" w:rsidRPr="00907667">
        <w:rPr>
          <w:rFonts w:ascii="Nirmala UI" w:hAnsi="Nirmala UI" w:cs="Nirmala UI"/>
          <w:sz w:val="20"/>
          <w:szCs w:val="20"/>
        </w:rPr>
        <w:t xml:space="preserve"> contra </w:t>
      </w:r>
      <w:r w:rsidR="00133B0F" w:rsidRPr="00907667">
        <w:rPr>
          <w:rFonts w:ascii="Nirmala UI" w:hAnsi="Nirmala UI" w:cs="Nirmala UI"/>
          <w:sz w:val="20"/>
          <w:szCs w:val="20"/>
        </w:rPr>
        <w:t>las ventas registradas el 202</w:t>
      </w:r>
      <w:r w:rsidR="008A710E" w:rsidRPr="00907667">
        <w:rPr>
          <w:rFonts w:ascii="Nirmala UI" w:hAnsi="Nirmala UI" w:cs="Nirmala UI"/>
          <w:sz w:val="20"/>
          <w:szCs w:val="20"/>
        </w:rPr>
        <w:t>1 que alcanzaron un 12,3%</w:t>
      </w:r>
      <w:r w:rsidR="00133B0F" w:rsidRPr="00907667">
        <w:rPr>
          <w:rFonts w:ascii="Nirmala UI" w:hAnsi="Nirmala UI" w:cs="Nirmala UI"/>
          <w:sz w:val="20"/>
          <w:szCs w:val="20"/>
        </w:rPr>
        <w:t xml:space="preserve">. </w:t>
      </w:r>
      <w:r w:rsidR="007733B4" w:rsidRPr="00907667">
        <w:rPr>
          <w:rFonts w:ascii="Nirmala UI" w:hAnsi="Nirmala UI" w:cs="Nirmala UI"/>
          <w:sz w:val="20"/>
          <w:szCs w:val="20"/>
        </w:rPr>
        <w:t xml:space="preserve"> </w:t>
      </w:r>
    </w:p>
    <w:p w14:paraId="6332EC69" w14:textId="77777777" w:rsidR="00584C97" w:rsidRPr="00907667" w:rsidRDefault="00584C97" w:rsidP="00584C9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sz w:val="20"/>
          <w:szCs w:val="20"/>
        </w:rPr>
      </w:pPr>
    </w:p>
    <w:p w14:paraId="736A6781" w14:textId="0EAC8CAA" w:rsidR="00232659" w:rsidRPr="00907667" w:rsidRDefault="00584C97" w:rsidP="00584C9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sz w:val="20"/>
          <w:szCs w:val="20"/>
        </w:rPr>
      </w:pPr>
      <w:r w:rsidRPr="00907667">
        <w:rPr>
          <w:rFonts w:ascii="Nirmala UI" w:hAnsi="Nirmala UI" w:cs="Nirmala UI"/>
          <w:sz w:val="20"/>
          <w:szCs w:val="20"/>
        </w:rPr>
        <w:t>De acuerdo con los resultados del indicador AGIP, que agrupa a compañías de los rubros de alimentos, artículos de limpieza de hogar, bebidas, cervezas y licores, artículos de higiene y belleza personal,</w:t>
      </w:r>
      <w:r w:rsidR="00C47E08" w:rsidRPr="00907667">
        <w:rPr>
          <w:rFonts w:ascii="Nirmala UI" w:hAnsi="Nirmala UI" w:cs="Nirmala UI"/>
          <w:sz w:val="20"/>
          <w:szCs w:val="20"/>
        </w:rPr>
        <w:t xml:space="preserve"> en términos reales, sin embargo,</w:t>
      </w:r>
      <w:r w:rsidRPr="00907667">
        <w:rPr>
          <w:rFonts w:ascii="Nirmala UI" w:hAnsi="Nirmala UI" w:cs="Nirmala UI"/>
          <w:sz w:val="20"/>
          <w:szCs w:val="20"/>
        </w:rPr>
        <w:t xml:space="preserve"> </w:t>
      </w:r>
      <w:r w:rsidR="00281420" w:rsidRPr="00907667">
        <w:rPr>
          <w:rFonts w:ascii="Nirmala UI" w:hAnsi="Nirmala UI" w:cs="Nirmala UI"/>
          <w:sz w:val="20"/>
          <w:szCs w:val="20"/>
        </w:rPr>
        <w:t>l</w:t>
      </w:r>
      <w:r w:rsidR="00232659" w:rsidRPr="00907667">
        <w:rPr>
          <w:rFonts w:ascii="Nirmala UI" w:hAnsi="Nirmala UI" w:cs="Nirmala UI"/>
          <w:sz w:val="20"/>
          <w:szCs w:val="20"/>
        </w:rPr>
        <w:t>a cifra</w:t>
      </w:r>
      <w:r w:rsidR="00A5240E" w:rsidRPr="00907667">
        <w:rPr>
          <w:rFonts w:ascii="Nirmala UI" w:hAnsi="Nirmala UI" w:cs="Nirmala UI"/>
          <w:sz w:val="20"/>
          <w:szCs w:val="20"/>
        </w:rPr>
        <w:t xml:space="preserve"> del 2022 </w:t>
      </w:r>
      <w:r w:rsidR="00A2033A" w:rsidRPr="00907667">
        <w:rPr>
          <w:rFonts w:ascii="Nirmala UI" w:hAnsi="Nirmala UI" w:cs="Nirmala UI"/>
          <w:sz w:val="20"/>
          <w:szCs w:val="20"/>
        </w:rPr>
        <w:t>implica un decrecimiento</w:t>
      </w:r>
      <w:r w:rsidR="00C47E08" w:rsidRPr="00907667">
        <w:rPr>
          <w:rFonts w:ascii="Nirmala UI" w:hAnsi="Nirmala UI" w:cs="Nirmala UI"/>
          <w:sz w:val="20"/>
          <w:szCs w:val="20"/>
        </w:rPr>
        <w:t xml:space="preserve"> </w:t>
      </w:r>
      <w:r w:rsidR="003B548C" w:rsidRPr="00907667">
        <w:rPr>
          <w:rFonts w:ascii="Nirmala UI" w:hAnsi="Nirmala UI" w:cs="Nirmala UI"/>
          <w:sz w:val="20"/>
          <w:szCs w:val="20"/>
        </w:rPr>
        <w:t xml:space="preserve">en la actividad </w:t>
      </w:r>
      <w:r w:rsidR="00C47E08" w:rsidRPr="00907667">
        <w:rPr>
          <w:rFonts w:ascii="Nirmala UI" w:hAnsi="Nirmala UI" w:cs="Nirmala UI"/>
          <w:sz w:val="20"/>
          <w:szCs w:val="20"/>
        </w:rPr>
        <w:t xml:space="preserve">al considerar la </w:t>
      </w:r>
      <w:r w:rsidR="00A2033A" w:rsidRPr="00907667">
        <w:rPr>
          <w:rFonts w:ascii="Nirmala UI" w:hAnsi="Nirmala UI" w:cs="Nirmala UI"/>
          <w:sz w:val="20"/>
          <w:szCs w:val="20"/>
        </w:rPr>
        <w:t xml:space="preserve">variación acumulada anual del IPC </w:t>
      </w:r>
      <w:r w:rsidR="00C47E08" w:rsidRPr="00907667">
        <w:rPr>
          <w:rFonts w:ascii="Nirmala UI" w:hAnsi="Nirmala UI" w:cs="Nirmala UI"/>
          <w:sz w:val="20"/>
          <w:szCs w:val="20"/>
        </w:rPr>
        <w:t xml:space="preserve">que fue de un 12,8%. </w:t>
      </w:r>
    </w:p>
    <w:p w14:paraId="47304770" w14:textId="77777777" w:rsidR="00232659" w:rsidRPr="00907667" w:rsidRDefault="00232659" w:rsidP="00584C9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sz w:val="20"/>
          <w:szCs w:val="20"/>
        </w:rPr>
      </w:pPr>
    </w:p>
    <w:p w14:paraId="26396004" w14:textId="45BE2D2C" w:rsidR="00300A83" w:rsidRPr="00907667" w:rsidRDefault="00BE767C" w:rsidP="00584C9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sz w:val="20"/>
          <w:szCs w:val="20"/>
        </w:rPr>
      </w:pPr>
      <w:r w:rsidRPr="00907667">
        <w:rPr>
          <w:rFonts w:ascii="Nirmala UI" w:hAnsi="Nirmala UI" w:cs="Nirmala UI"/>
          <w:sz w:val="20"/>
          <w:szCs w:val="20"/>
        </w:rPr>
        <w:t xml:space="preserve">Al observar por periodos, el desempeño en las ventas de las empresas socias de AGIP </w:t>
      </w:r>
      <w:r w:rsidR="00283F33" w:rsidRPr="00907667">
        <w:rPr>
          <w:rFonts w:ascii="Nirmala UI" w:hAnsi="Nirmala UI" w:cs="Nirmala UI"/>
          <w:sz w:val="20"/>
          <w:szCs w:val="20"/>
        </w:rPr>
        <w:t>tuvo un mayor dinamismo el primer semestre, anotando un 8,3% de crecimiento, mientras que la segunda parte del año alcanzó un</w:t>
      </w:r>
      <w:r w:rsidR="00907667" w:rsidRPr="00907667">
        <w:rPr>
          <w:rFonts w:ascii="Nirmala UI" w:hAnsi="Nirmala UI" w:cs="Nirmala UI"/>
          <w:sz w:val="20"/>
          <w:szCs w:val="20"/>
        </w:rPr>
        <w:t xml:space="preserve"> promedio de</w:t>
      </w:r>
      <w:r w:rsidR="00CA6494" w:rsidRPr="00907667">
        <w:rPr>
          <w:rFonts w:ascii="Nirmala UI" w:hAnsi="Nirmala UI" w:cs="Nirmala UI"/>
          <w:sz w:val="20"/>
          <w:szCs w:val="20"/>
        </w:rPr>
        <w:t xml:space="preserve"> 4,3%.</w:t>
      </w:r>
    </w:p>
    <w:p w14:paraId="6B136BC6" w14:textId="77777777" w:rsidR="00300A83" w:rsidRPr="00907667" w:rsidRDefault="00300A83" w:rsidP="00584C9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sz w:val="20"/>
          <w:szCs w:val="20"/>
        </w:rPr>
      </w:pPr>
    </w:p>
    <w:p w14:paraId="4BA21BA1" w14:textId="4D47DDE2" w:rsidR="005B318D" w:rsidRPr="00907667" w:rsidRDefault="005B318D" w:rsidP="005B318D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sz w:val="20"/>
          <w:szCs w:val="20"/>
        </w:rPr>
      </w:pPr>
      <w:r w:rsidRPr="00907667">
        <w:rPr>
          <w:rFonts w:ascii="Nirmala UI" w:hAnsi="Nirmala UI" w:cs="Nirmala UI"/>
          <w:sz w:val="20"/>
          <w:szCs w:val="20"/>
        </w:rPr>
        <w:t xml:space="preserve">Al </w:t>
      </w:r>
      <w:r w:rsidR="004C29F0" w:rsidRPr="00907667">
        <w:rPr>
          <w:rFonts w:ascii="Nirmala UI" w:hAnsi="Nirmala UI" w:cs="Nirmala UI"/>
          <w:sz w:val="20"/>
          <w:szCs w:val="20"/>
        </w:rPr>
        <w:t>descomponer</w:t>
      </w:r>
      <w:r w:rsidRPr="00907667">
        <w:rPr>
          <w:rFonts w:ascii="Nirmala UI" w:hAnsi="Nirmala UI" w:cs="Nirmala UI"/>
          <w:sz w:val="20"/>
          <w:szCs w:val="20"/>
        </w:rPr>
        <w:t xml:space="preserve"> la evolución del 2022 de manera trimestral, el </w:t>
      </w:r>
      <w:r w:rsidR="00433A79" w:rsidRPr="00907667">
        <w:rPr>
          <w:rFonts w:ascii="Nirmala UI" w:hAnsi="Nirmala UI" w:cs="Nirmala UI"/>
          <w:sz w:val="20"/>
          <w:szCs w:val="20"/>
        </w:rPr>
        <w:t>primer trimestre alcanzó una actividad de 11,8%, seguido por el cua</w:t>
      </w:r>
      <w:r w:rsidR="004C29F0" w:rsidRPr="00907667">
        <w:rPr>
          <w:rFonts w:ascii="Nirmala UI" w:hAnsi="Nirmala UI" w:cs="Nirmala UI"/>
          <w:sz w:val="20"/>
          <w:szCs w:val="20"/>
        </w:rPr>
        <w:t>r</w:t>
      </w:r>
      <w:r w:rsidR="00433A79" w:rsidRPr="00907667">
        <w:rPr>
          <w:rFonts w:ascii="Nirmala UI" w:hAnsi="Nirmala UI" w:cs="Nirmala UI"/>
          <w:sz w:val="20"/>
          <w:szCs w:val="20"/>
        </w:rPr>
        <w:t>t</w:t>
      </w:r>
      <w:r w:rsidR="004C29F0" w:rsidRPr="00907667">
        <w:rPr>
          <w:rFonts w:ascii="Nirmala UI" w:hAnsi="Nirmala UI" w:cs="Nirmala UI"/>
          <w:sz w:val="20"/>
          <w:szCs w:val="20"/>
        </w:rPr>
        <w:t>o</w:t>
      </w:r>
      <w:r w:rsidR="00433A79" w:rsidRPr="00907667">
        <w:rPr>
          <w:rFonts w:ascii="Nirmala UI" w:hAnsi="Nirmala UI" w:cs="Nirmala UI"/>
          <w:sz w:val="20"/>
          <w:szCs w:val="20"/>
        </w:rPr>
        <w:t xml:space="preserve"> trimestre con un 6,8%. El segundo trimestre, a su vez, tuvo un 6,3% de crecimiento, mientras que el tercer trimestre fue el periodo con un menor ritmo en las ventas con un 4,9%. </w:t>
      </w:r>
    </w:p>
    <w:p w14:paraId="4AA7DDCB" w14:textId="77777777" w:rsidR="005B318D" w:rsidRPr="00907667" w:rsidRDefault="005B318D" w:rsidP="00584C9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sz w:val="20"/>
          <w:szCs w:val="20"/>
        </w:rPr>
      </w:pPr>
    </w:p>
    <w:p w14:paraId="4B3A9CCB" w14:textId="3B407CB7" w:rsidR="00A5240E" w:rsidRPr="00907667" w:rsidRDefault="00AA14B6" w:rsidP="00584C9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sz w:val="20"/>
          <w:szCs w:val="20"/>
        </w:rPr>
      </w:pPr>
      <w:r w:rsidRPr="00907667">
        <w:rPr>
          <w:rFonts w:ascii="Nirmala UI" w:hAnsi="Nirmala UI" w:cs="Nirmala UI"/>
          <w:sz w:val="20"/>
          <w:szCs w:val="20"/>
        </w:rPr>
        <w:t xml:space="preserve">Durante el 2022 todas las categorías mostraron una actividad positiva, pese a que las ventas mostraron un menor dinamismo que el 2021. Es así que la que mostró mayor actividad fue Abarrotes Perecibles con un 8,3% de crecimiento, seguida por Alimentos y abarrotes no alimentos con un 7,6% de dinamismo en el acumulado 2022. </w:t>
      </w:r>
      <w:r w:rsidR="00FB5E45" w:rsidRPr="00907667">
        <w:rPr>
          <w:rFonts w:ascii="Nirmala UI" w:hAnsi="Nirmala UI" w:cs="Nirmala UI"/>
          <w:sz w:val="20"/>
          <w:szCs w:val="20"/>
        </w:rPr>
        <w:t>Las categoría</w:t>
      </w:r>
      <w:r w:rsidR="00FA7977" w:rsidRPr="00907667">
        <w:rPr>
          <w:rFonts w:ascii="Nirmala UI" w:hAnsi="Nirmala UI" w:cs="Nirmala UI"/>
          <w:sz w:val="20"/>
          <w:szCs w:val="20"/>
        </w:rPr>
        <w:t>s</w:t>
      </w:r>
      <w:r w:rsidR="00FB5E45" w:rsidRPr="00907667">
        <w:rPr>
          <w:rFonts w:ascii="Nirmala UI" w:hAnsi="Nirmala UI" w:cs="Nirmala UI"/>
          <w:sz w:val="20"/>
          <w:szCs w:val="20"/>
        </w:rPr>
        <w:t xml:space="preserve"> de Bebidas, Cervezas y Licores </w:t>
      </w:r>
      <w:r w:rsidR="00FA7977" w:rsidRPr="00907667">
        <w:rPr>
          <w:rFonts w:ascii="Nirmala UI" w:hAnsi="Nirmala UI" w:cs="Nirmala UI"/>
          <w:sz w:val="20"/>
          <w:szCs w:val="20"/>
        </w:rPr>
        <w:t xml:space="preserve">e Higiene y Belleza mostraron el 2022 un crecimiento final de un 4,4% y 3,6% respectivamente. </w:t>
      </w:r>
    </w:p>
    <w:p w14:paraId="0BE0A7EF" w14:textId="77777777" w:rsidR="00584C97" w:rsidRPr="00907667" w:rsidRDefault="00584C97" w:rsidP="00584C9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color w:val="FF0000"/>
          <w:sz w:val="20"/>
          <w:szCs w:val="20"/>
        </w:rPr>
      </w:pPr>
    </w:p>
    <w:p w14:paraId="2E0FA7D0" w14:textId="53F97D0E" w:rsidR="00915C02" w:rsidRPr="00907667" w:rsidRDefault="00584C97" w:rsidP="00584C9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sz w:val="20"/>
          <w:szCs w:val="20"/>
        </w:rPr>
      </w:pPr>
      <w:r w:rsidRPr="00907667">
        <w:rPr>
          <w:rFonts w:ascii="Nirmala UI" w:hAnsi="Nirmala UI" w:cs="Nirmala UI"/>
          <w:sz w:val="20"/>
          <w:szCs w:val="20"/>
        </w:rPr>
        <w:t xml:space="preserve">El presidente de la Asociación Gremial de Industrias Proveedoras, Vasco Costa, explicó que “el </w:t>
      </w:r>
      <w:r w:rsidR="00107D4C" w:rsidRPr="00907667">
        <w:rPr>
          <w:rFonts w:ascii="Nirmala UI" w:hAnsi="Nirmala UI" w:cs="Nirmala UI"/>
          <w:sz w:val="20"/>
          <w:szCs w:val="20"/>
        </w:rPr>
        <w:t xml:space="preserve">desempeño en las ventas </w:t>
      </w:r>
      <w:r w:rsidR="00E24054" w:rsidRPr="00907667">
        <w:rPr>
          <w:rFonts w:ascii="Nirmala UI" w:hAnsi="Nirmala UI" w:cs="Nirmala UI"/>
          <w:sz w:val="20"/>
          <w:szCs w:val="20"/>
        </w:rPr>
        <w:t xml:space="preserve">se explica en parte por </w:t>
      </w:r>
      <w:r w:rsidR="003D723B" w:rsidRPr="00907667">
        <w:rPr>
          <w:rFonts w:ascii="Nirmala UI" w:hAnsi="Nirmala UI" w:cs="Nirmala UI"/>
          <w:sz w:val="20"/>
          <w:szCs w:val="20"/>
        </w:rPr>
        <w:t>un primer semestre que mostró una mayor actividad que la última parte del año</w:t>
      </w:r>
      <w:r w:rsidR="009B4D40" w:rsidRPr="00907667">
        <w:rPr>
          <w:rFonts w:ascii="Nirmala UI" w:hAnsi="Nirmala UI" w:cs="Nirmala UI"/>
          <w:sz w:val="20"/>
          <w:szCs w:val="20"/>
        </w:rPr>
        <w:t xml:space="preserve"> en el cual es posible ver una desaceleración</w:t>
      </w:r>
      <w:r w:rsidR="0087640A" w:rsidRPr="00907667">
        <w:rPr>
          <w:rFonts w:ascii="Nirmala UI" w:hAnsi="Nirmala UI" w:cs="Nirmala UI"/>
          <w:sz w:val="20"/>
          <w:szCs w:val="20"/>
        </w:rPr>
        <w:t xml:space="preserve"> más acentuada</w:t>
      </w:r>
      <w:r w:rsidR="009B4D40" w:rsidRPr="00907667">
        <w:rPr>
          <w:rFonts w:ascii="Nirmala UI" w:hAnsi="Nirmala UI" w:cs="Nirmala UI"/>
          <w:sz w:val="20"/>
          <w:szCs w:val="20"/>
        </w:rPr>
        <w:t xml:space="preserve"> del consumo</w:t>
      </w:r>
      <w:r w:rsidR="002958C5" w:rsidRPr="00907667">
        <w:rPr>
          <w:rFonts w:ascii="Nirmala UI" w:hAnsi="Nirmala UI" w:cs="Nirmala UI"/>
          <w:sz w:val="20"/>
          <w:szCs w:val="20"/>
        </w:rPr>
        <w:t xml:space="preserve"> en comparación a la del 2021</w:t>
      </w:r>
      <w:r w:rsidR="00A12EDE" w:rsidRPr="00907667">
        <w:rPr>
          <w:rFonts w:ascii="Nirmala UI" w:hAnsi="Nirmala UI" w:cs="Nirmala UI"/>
          <w:sz w:val="20"/>
          <w:szCs w:val="20"/>
        </w:rPr>
        <w:t xml:space="preserve"> </w:t>
      </w:r>
      <w:r w:rsidR="002958C5" w:rsidRPr="00907667">
        <w:rPr>
          <w:rFonts w:ascii="Nirmala UI" w:hAnsi="Nirmala UI" w:cs="Nirmala UI"/>
          <w:sz w:val="20"/>
          <w:szCs w:val="20"/>
        </w:rPr>
        <w:t>que registr</w:t>
      </w:r>
      <w:r w:rsidR="00D17F3E" w:rsidRPr="00907667">
        <w:rPr>
          <w:rFonts w:ascii="Nirmala UI" w:hAnsi="Nirmala UI" w:cs="Nirmala UI"/>
          <w:sz w:val="20"/>
          <w:szCs w:val="20"/>
        </w:rPr>
        <w:t>ó un alto dinamismo</w:t>
      </w:r>
      <w:r w:rsidR="00392D1F" w:rsidRPr="00907667">
        <w:rPr>
          <w:rFonts w:ascii="Nirmala UI" w:hAnsi="Nirmala UI" w:cs="Nirmala UI"/>
          <w:sz w:val="20"/>
          <w:szCs w:val="20"/>
        </w:rPr>
        <w:t>”</w:t>
      </w:r>
      <w:r w:rsidR="00D17F3E" w:rsidRPr="00907667">
        <w:rPr>
          <w:rFonts w:ascii="Nirmala UI" w:hAnsi="Nirmala UI" w:cs="Nirmala UI"/>
          <w:sz w:val="20"/>
          <w:szCs w:val="20"/>
        </w:rPr>
        <w:t>.</w:t>
      </w:r>
      <w:r w:rsidR="003D723B" w:rsidRPr="00907667">
        <w:rPr>
          <w:rFonts w:ascii="Nirmala UI" w:hAnsi="Nirmala UI" w:cs="Nirmala UI"/>
          <w:sz w:val="20"/>
          <w:szCs w:val="20"/>
        </w:rPr>
        <w:t xml:space="preserve"> </w:t>
      </w:r>
    </w:p>
    <w:p w14:paraId="756EE09E" w14:textId="77777777" w:rsidR="00584C97" w:rsidRPr="00907667" w:rsidRDefault="00584C97" w:rsidP="00584C9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sz w:val="20"/>
          <w:szCs w:val="20"/>
        </w:rPr>
      </w:pPr>
    </w:p>
    <w:p w14:paraId="1A46A888" w14:textId="7DF47734" w:rsidR="00725D44" w:rsidRPr="00907667" w:rsidRDefault="00584C97" w:rsidP="00403AB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sz w:val="20"/>
          <w:szCs w:val="20"/>
        </w:rPr>
      </w:pPr>
      <w:r w:rsidRPr="00907667">
        <w:rPr>
          <w:rFonts w:ascii="Nirmala UI" w:hAnsi="Nirmala UI" w:cs="Nirmala UI"/>
          <w:sz w:val="20"/>
          <w:szCs w:val="20"/>
        </w:rPr>
        <w:t>El líder gremial complementó que</w:t>
      </w:r>
      <w:r w:rsidR="00B67970" w:rsidRPr="00907667">
        <w:rPr>
          <w:rFonts w:ascii="Nirmala UI" w:hAnsi="Nirmala UI" w:cs="Nirmala UI"/>
          <w:sz w:val="20"/>
          <w:szCs w:val="20"/>
        </w:rPr>
        <w:t xml:space="preserve"> </w:t>
      </w:r>
      <w:r w:rsidR="000111EC" w:rsidRPr="00907667">
        <w:rPr>
          <w:rFonts w:ascii="Nirmala UI" w:hAnsi="Nirmala UI" w:cs="Nirmala UI"/>
          <w:sz w:val="20"/>
          <w:szCs w:val="20"/>
        </w:rPr>
        <w:t xml:space="preserve">esperan que para el </w:t>
      </w:r>
      <w:r w:rsidR="007920A8" w:rsidRPr="00907667">
        <w:rPr>
          <w:rFonts w:ascii="Nirmala UI" w:hAnsi="Nirmala UI" w:cs="Nirmala UI"/>
          <w:sz w:val="20"/>
          <w:szCs w:val="20"/>
        </w:rPr>
        <w:t>202</w:t>
      </w:r>
      <w:r w:rsidR="004D2CFE" w:rsidRPr="00907667">
        <w:rPr>
          <w:rFonts w:ascii="Nirmala UI" w:hAnsi="Nirmala UI" w:cs="Nirmala UI"/>
          <w:sz w:val="20"/>
          <w:szCs w:val="20"/>
        </w:rPr>
        <w:t>3</w:t>
      </w:r>
      <w:r w:rsidR="00DE4C2E" w:rsidRPr="00907667">
        <w:rPr>
          <w:rFonts w:ascii="Nirmala UI" w:hAnsi="Nirmala UI" w:cs="Nirmala UI"/>
          <w:sz w:val="20"/>
          <w:szCs w:val="20"/>
        </w:rPr>
        <w:t xml:space="preserve"> </w:t>
      </w:r>
      <w:r w:rsidR="00BF4FA0" w:rsidRPr="00907667">
        <w:rPr>
          <w:rFonts w:ascii="Nirmala UI" w:hAnsi="Nirmala UI" w:cs="Nirmala UI"/>
          <w:sz w:val="20"/>
          <w:szCs w:val="20"/>
        </w:rPr>
        <w:t>la industria proveedora</w:t>
      </w:r>
      <w:r w:rsidR="00AE0B5F" w:rsidRPr="00907667">
        <w:rPr>
          <w:rFonts w:ascii="Nirmala UI" w:hAnsi="Nirmala UI" w:cs="Nirmala UI"/>
          <w:sz w:val="20"/>
          <w:szCs w:val="20"/>
        </w:rPr>
        <w:t xml:space="preserve"> tenga un crecimiento a un ritmo más </w:t>
      </w:r>
      <w:r w:rsidR="00D17F3E" w:rsidRPr="00907667">
        <w:rPr>
          <w:rFonts w:ascii="Nirmala UI" w:hAnsi="Nirmala UI" w:cs="Nirmala UI"/>
          <w:sz w:val="20"/>
          <w:szCs w:val="20"/>
        </w:rPr>
        <w:t>cauto</w:t>
      </w:r>
      <w:r w:rsidR="00AE0B5F" w:rsidRPr="00907667">
        <w:rPr>
          <w:rFonts w:ascii="Nirmala UI" w:hAnsi="Nirmala UI" w:cs="Nirmala UI"/>
          <w:sz w:val="20"/>
          <w:szCs w:val="20"/>
        </w:rPr>
        <w:t xml:space="preserve">. </w:t>
      </w:r>
      <w:r w:rsidR="00FA090F" w:rsidRPr="00907667">
        <w:rPr>
          <w:rFonts w:ascii="Nirmala UI" w:hAnsi="Nirmala UI" w:cs="Nirmala UI"/>
          <w:sz w:val="20"/>
          <w:szCs w:val="20"/>
        </w:rPr>
        <w:t>“</w:t>
      </w:r>
      <w:r w:rsidR="00AE0B5F" w:rsidRPr="00907667">
        <w:rPr>
          <w:rFonts w:ascii="Nirmala UI" w:hAnsi="Nirmala UI" w:cs="Nirmala UI"/>
          <w:sz w:val="20"/>
          <w:szCs w:val="20"/>
        </w:rPr>
        <w:t xml:space="preserve">La economía sigue mostrando </w:t>
      </w:r>
      <w:r w:rsidR="00D750DB" w:rsidRPr="00907667">
        <w:rPr>
          <w:rFonts w:ascii="Nirmala UI" w:hAnsi="Nirmala UI" w:cs="Nirmala UI"/>
          <w:sz w:val="20"/>
          <w:szCs w:val="20"/>
        </w:rPr>
        <w:t>signos de una presión inflacionaria relevante</w:t>
      </w:r>
      <w:r w:rsidR="00D17F3E" w:rsidRPr="00907667">
        <w:rPr>
          <w:rFonts w:ascii="Nirmala UI" w:hAnsi="Nirmala UI" w:cs="Nirmala UI"/>
          <w:sz w:val="20"/>
          <w:szCs w:val="20"/>
        </w:rPr>
        <w:t>,</w:t>
      </w:r>
      <w:r w:rsidR="00D750DB" w:rsidRPr="00907667">
        <w:rPr>
          <w:rFonts w:ascii="Nirmala UI" w:hAnsi="Nirmala UI" w:cs="Nirmala UI"/>
          <w:sz w:val="20"/>
          <w:szCs w:val="20"/>
        </w:rPr>
        <w:t xml:space="preserve"> y </w:t>
      </w:r>
      <w:r w:rsidR="00C8397E" w:rsidRPr="00907667">
        <w:rPr>
          <w:rFonts w:ascii="Nirmala UI" w:hAnsi="Nirmala UI" w:cs="Nirmala UI"/>
          <w:sz w:val="20"/>
          <w:szCs w:val="20"/>
        </w:rPr>
        <w:t xml:space="preserve">una </w:t>
      </w:r>
      <w:r w:rsidR="00D750DB" w:rsidRPr="00907667">
        <w:rPr>
          <w:rFonts w:ascii="Nirmala UI" w:hAnsi="Nirmala UI" w:cs="Nirmala UI"/>
          <w:sz w:val="20"/>
          <w:szCs w:val="20"/>
        </w:rPr>
        <w:t>menor expectativa de los consumidores</w:t>
      </w:r>
      <w:r w:rsidR="00481F93" w:rsidRPr="00907667">
        <w:rPr>
          <w:rFonts w:ascii="Nirmala UI" w:hAnsi="Nirmala UI" w:cs="Nirmala UI"/>
          <w:sz w:val="20"/>
          <w:szCs w:val="20"/>
        </w:rPr>
        <w:t xml:space="preserve">. Además, hay que ver cómo impactará sobre la inversión y el empleo </w:t>
      </w:r>
      <w:r w:rsidR="0015602F" w:rsidRPr="00907667">
        <w:rPr>
          <w:rFonts w:ascii="Nirmala UI" w:hAnsi="Nirmala UI" w:cs="Nirmala UI"/>
          <w:sz w:val="20"/>
          <w:szCs w:val="20"/>
        </w:rPr>
        <w:t>la</w:t>
      </w:r>
      <w:r w:rsidR="00481F93" w:rsidRPr="00907667">
        <w:rPr>
          <w:rFonts w:ascii="Nirmala UI" w:hAnsi="Nirmala UI" w:cs="Nirmala UI"/>
          <w:sz w:val="20"/>
          <w:szCs w:val="20"/>
        </w:rPr>
        <w:t xml:space="preserve"> discusión de la</w:t>
      </w:r>
      <w:r w:rsidR="0015602F" w:rsidRPr="00907667">
        <w:rPr>
          <w:rFonts w:ascii="Nirmala UI" w:hAnsi="Nirmala UI" w:cs="Nirmala UI"/>
          <w:sz w:val="20"/>
          <w:szCs w:val="20"/>
        </w:rPr>
        <w:t xml:space="preserve"> Reforma Tributaria </w:t>
      </w:r>
      <w:proofErr w:type="spellStart"/>
      <w:r w:rsidR="0015602F" w:rsidRPr="00907667">
        <w:rPr>
          <w:rFonts w:ascii="Nirmala UI" w:hAnsi="Nirmala UI" w:cs="Nirmala UI"/>
          <w:sz w:val="20"/>
          <w:szCs w:val="20"/>
        </w:rPr>
        <w:t>y</w:t>
      </w:r>
      <w:proofErr w:type="spellEnd"/>
      <w:r w:rsidR="0015602F" w:rsidRPr="00907667">
        <w:rPr>
          <w:rFonts w:ascii="Nirmala UI" w:hAnsi="Nirmala UI" w:cs="Nirmala UI"/>
          <w:sz w:val="20"/>
          <w:szCs w:val="20"/>
        </w:rPr>
        <w:t xml:space="preserve"> </w:t>
      </w:r>
      <w:r w:rsidR="00481F93" w:rsidRPr="00907667">
        <w:rPr>
          <w:rFonts w:ascii="Nirmala UI" w:hAnsi="Nirmala UI" w:cs="Nirmala UI"/>
          <w:sz w:val="20"/>
          <w:szCs w:val="20"/>
        </w:rPr>
        <w:t>implementación de la l</w:t>
      </w:r>
      <w:r w:rsidR="0015602F" w:rsidRPr="00907667">
        <w:rPr>
          <w:rFonts w:ascii="Nirmala UI" w:hAnsi="Nirmala UI" w:cs="Nirmala UI"/>
          <w:sz w:val="20"/>
          <w:szCs w:val="20"/>
        </w:rPr>
        <w:t xml:space="preserve">ey de 40 horas. </w:t>
      </w:r>
      <w:r w:rsidR="00D17F3E" w:rsidRPr="00907667">
        <w:rPr>
          <w:rFonts w:ascii="Nirmala UI" w:hAnsi="Nirmala UI" w:cs="Nirmala UI"/>
          <w:sz w:val="20"/>
          <w:szCs w:val="20"/>
        </w:rPr>
        <w:t>Es por esto que</w:t>
      </w:r>
      <w:r w:rsidR="00C874C8" w:rsidRPr="00907667">
        <w:rPr>
          <w:rFonts w:ascii="Nirmala UI" w:hAnsi="Nirmala UI" w:cs="Nirmala UI"/>
          <w:sz w:val="20"/>
          <w:szCs w:val="20"/>
        </w:rPr>
        <w:t xml:space="preserve"> es posible que</w:t>
      </w:r>
      <w:r w:rsidR="00D17F3E" w:rsidRPr="00907667">
        <w:rPr>
          <w:rFonts w:ascii="Nirmala UI" w:hAnsi="Nirmala UI" w:cs="Nirmala UI"/>
          <w:sz w:val="20"/>
          <w:szCs w:val="20"/>
        </w:rPr>
        <w:t xml:space="preserve"> las </w:t>
      </w:r>
      <w:r w:rsidR="00FA090F" w:rsidRPr="00907667">
        <w:rPr>
          <w:rFonts w:ascii="Nirmala UI" w:hAnsi="Nirmala UI" w:cs="Nirmala UI"/>
          <w:sz w:val="20"/>
          <w:szCs w:val="20"/>
        </w:rPr>
        <w:t>ventas de la</w:t>
      </w:r>
      <w:r w:rsidR="000B0C09" w:rsidRPr="00907667">
        <w:rPr>
          <w:rFonts w:ascii="Nirmala UI" w:hAnsi="Nirmala UI" w:cs="Nirmala UI"/>
          <w:sz w:val="20"/>
          <w:szCs w:val="20"/>
        </w:rPr>
        <w:t xml:space="preserve"> industria</w:t>
      </w:r>
      <w:r w:rsidR="00D17F3E" w:rsidRPr="00907667">
        <w:rPr>
          <w:rFonts w:ascii="Nirmala UI" w:hAnsi="Nirmala UI" w:cs="Nirmala UI"/>
          <w:sz w:val="20"/>
          <w:szCs w:val="20"/>
        </w:rPr>
        <w:t xml:space="preserve"> estén más alineadas </w:t>
      </w:r>
      <w:r w:rsidR="00C874C8" w:rsidRPr="00907667">
        <w:rPr>
          <w:rFonts w:ascii="Nirmala UI" w:hAnsi="Nirmala UI" w:cs="Nirmala UI"/>
          <w:sz w:val="20"/>
          <w:szCs w:val="20"/>
        </w:rPr>
        <w:t>al crecimiento proyectado para la economía del país”</w:t>
      </w:r>
      <w:r w:rsidR="00AB578E" w:rsidRPr="00907667">
        <w:rPr>
          <w:rFonts w:ascii="Nirmala UI" w:hAnsi="Nirmala UI" w:cs="Nirmala UI"/>
          <w:sz w:val="20"/>
          <w:szCs w:val="20"/>
        </w:rPr>
        <w:t xml:space="preserve">, concluyó el dirigente gremial. </w:t>
      </w:r>
    </w:p>
    <w:p w14:paraId="06E8B53E" w14:textId="77777777" w:rsidR="005C502E" w:rsidRPr="00907667" w:rsidRDefault="005C502E" w:rsidP="00403AB7">
      <w:pPr>
        <w:pStyle w:val="Textoindependiente2"/>
        <w:tabs>
          <w:tab w:val="left" w:pos="284"/>
        </w:tabs>
        <w:ind w:right="99"/>
        <w:jc w:val="both"/>
        <w:rPr>
          <w:noProof/>
          <w:sz w:val="20"/>
          <w:szCs w:val="20"/>
        </w:rPr>
      </w:pPr>
    </w:p>
    <w:p w14:paraId="02C6BA9D" w14:textId="510A3651" w:rsidR="00725D44" w:rsidRPr="00907667" w:rsidRDefault="006C1E2E">
      <w:pPr>
        <w:rPr>
          <w:sz w:val="20"/>
          <w:szCs w:val="20"/>
        </w:rPr>
      </w:pPr>
      <w:r w:rsidRPr="00907667">
        <w:rPr>
          <w:noProof/>
          <w:sz w:val="20"/>
          <w:szCs w:val="20"/>
        </w:rPr>
        <w:lastRenderedPageBreak/>
        <w:drawing>
          <wp:inline distT="0" distB="0" distL="0" distR="0" wp14:anchorId="08C5A646" wp14:editId="0035F69B">
            <wp:extent cx="5610225" cy="2557463"/>
            <wp:effectExtent l="0" t="0" r="9525" b="1460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78A0A5A-9B26-D177-1B38-1CBA00A3EE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0140380" w14:textId="5ABE68B7" w:rsidR="007C32E1" w:rsidRPr="00907667" w:rsidRDefault="001E4ABC">
      <w:pPr>
        <w:rPr>
          <w:sz w:val="20"/>
          <w:szCs w:val="20"/>
        </w:rPr>
      </w:pPr>
      <w:r w:rsidRPr="00907667">
        <w:rPr>
          <w:noProof/>
          <w:sz w:val="20"/>
          <w:szCs w:val="20"/>
        </w:rPr>
        <w:drawing>
          <wp:inline distT="0" distB="0" distL="0" distR="0" wp14:anchorId="55C407E0" wp14:editId="586340D7">
            <wp:extent cx="5562600" cy="278130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383D20EC-A202-B9B1-F319-1D8DA0BC29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169683A" w14:textId="77777777" w:rsidR="00403AB7" w:rsidRPr="00907667" w:rsidRDefault="00403AB7" w:rsidP="00403AB7">
      <w:pPr>
        <w:pStyle w:val="Textoindependiente2"/>
        <w:tabs>
          <w:tab w:val="left" w:pos="284"/>
        </w:tabs>
        <w:ind w:right="99"/>
        <w:jc w:val="both"/>
        <w:rPr>
          <w:rFonts w:ascii="Nirmala UI" w:hAnsi="Nirmala UI" w:cs="Nirmala UI"/>
          <w:i/>
          <w:iCs/>
          <w:sz w:val="20"/>
          <w:szCs w:val="20"/>
        </w:rPr>
      </w:pPr>
      <w:r w:rsidRPr="00907667">
        <w:rPr>
          <w:rFonts w:ascii="Nirmala UI" w:hAnsi="Nirmala UI" w:cs="Nirmala UI"/>
          <w:i/>
          <w:iCs/>
          <w:sz w:val="20"/>
          <w:szCs w:val="20"/>
        </w:rPr>
        <w:t xml:space="preserve">La AGIP - que opera desde hace más de 20 años y que comenzó con 15 socios- agrupa a empresas proveedoras de los rubros de alimentos, artículos de limpieza de hogar, bebidas, cervezas y licores, artículos de higiene y belleza personal. Para más información, visite </w:t>
      </w:r>
      <w:hyperlink r:id="rId8" w:history="1">
        <w:r w:rsidRPr="00907667">
          <w:rPr>
            <w:rFonts w:ascii="Nirmala UI" w:hAnsi="Nirmala UI" w:cs="Nirmala UI"/>
            <w:i/>
            <w:iCs/>
            <w:sz w:val="20"/>
            <w:szCs w:val="20"/>
          </w:rPr>
          <w:t>www.agipchile.cl</w:t>
        </w:r>
      </w:hyperlink>
      <w:r w:rsidRPr="00907667">
        <w:rPr>
          <w:rFonts w:ascii="Nirmala UI" w:hAnsi="Nirmala UI" w:cs="Nirmala UI"/>
          <w:i/>
          <w:iCs/>
          <w:sz w:val="20"/>
          <w:szCs w:val="20"/>
        </w:rPr>
        <w:t xml:space="preserve"> o el </w:t>
      </w:r>
      <w:hyperlink r:id="rId9" w:history="1">
        <w:r w:rsidRPr="00907667">
          <w:rPr>
            <w:rFonts w:ascii="Nirmala UI" w:hAnsi="Nirmala UI" w:cs="Nirmala UI"/>
            <w:i/>
            <w:iCs/>
            <w:sz w:val="20"/>
            <w:szCs w:val="20"/>
          </w:rPr>
          <w:t>LinkedIn</w:t>
        </w:r>
      </w:hyperlink>
      <w:r w:rsidRPr="00907667">
        <w:rPr>
          <w:rFonts w:ascii="Nirmala UI" w:hAnsi="Nirmala UI" w:cs="Nirmala UI"/>
          <w:i/>
          <w:iCs/>
          <w:sz w:val="20"/>
          <w:szCs w:val="20"/>
        </w:rPr>
        <w:t>.</w:t>
      </w:r>
    </w:p>
    <w:p w14:paraId="362A5EC2" w14:textId="62CD34DE" w:rsidR="007C32E1" w:rsidRPr="00907667" w:rsidRDefault="007C32E1">
      <w:pPr>
        <w:rPr>
          <w:sz w:val="20"/>
          <w:szCs w:val="20"/>
        </w:rPr>
      </w:pPr>
    </w:p>
    <w:sectPr w:rsidR="007C32E1" w:rsidRPr="0090766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AEEB" w14:textId="77777777" w:rsidR="00664A64" w:rsidRDefault="00664A64" w:rsidP="00AE71D1">
      <w:pPr>
        <w:spacing w:after="0" w:line="240" w:lineRule="auto"/>
      </w:pPr>
      <w:r>
        <w:separator/>
      </w:r>
    </w:p>
  </w:endnote>
  <w:endnote w:type="continuationSeparator" w:id="0">
    <w:p w14:paraId="0AE8F6AD" w14:textId="77777777" w:rsidR="00664A64" w:rsidRDefault="00664A64" w:rsidP="00AE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9379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D67959" w14:textId="05FB827E" w:rsidR="00CF2C57" w:rsidRDefault="00CF2C5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B8422" w14:textId="77777777" w:rsidR="00CF2C57" w:rsidRDefault="00CF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2306" w14:textId="77777777" w:rsidR="00664A64" w:rsidRDefault="00664A64" w:rsidP="00AE71D1">
      <w:pPr>
        <w:spacing w:after="0" w:line="240" w:lineRule="auto"/>
      </w:pPr>
      <w:r>
        <w:separator/>
      </w:r>
    </w:p>
  </w:footnote>
  <w:footnote w:type="continuationSeparator" w:id="0">
    <w:p w14:paraId="7E1D7B9E" w14:textId="77777777" w:rsidR="00664A64" w:rsidRDefault="00664A64" w:rsidP="00AE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EE3" w14:textId="2774E587" w:rsidR="00AE71D1" w:rsidRDefault="00CF2C57" w:rsidP="00AE71D1">
    <w:pPr>
      <w:pStyle w:val="Encabezado"/>
      <w:jc w:val="right"/>
      <w:rPr>
        <w:lang w:val="es-ES"/>
      </w:rPr>
    </w:pPr>
    <w:r>
      <w:rPr>
        <w:lang w:val="es-ES"/>
      </w:rPr>
      <w:t>Comunicado de prensa</w:t>
    </w:r>
  </w:p>
  <w:p w14:paraId="018DE614" w14:textId="410FC577" w:rsidR="00CF2C57" w:rsidRPr="0008014D" w:rsidRDefault="00CF2C57" w:rsidP="00AE71D1">
    <w:pPr>
      <w:pStyle w:val="Encabezado"/>
      <w:jc w:val="right"/>
      <w:rPr>
        <w:lang w:val="es-ES"/>
      </w:rPr>
    </w:pPr>
    <w:r>
      <w:rPr>
        <w:lang w:val="es-ES"/>
      </w:rPr>
      <w:t>Enero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5B"/>
    <w:rsid w:val="000111EC"/>
    <w:rsid w:val="000673AE"/>
    <w:rsid w:val="0008014D"/>
    <w:rsid w:val="000B0C09"/>
    <w:rsid w:val="000E5449"/>
    <w:rsid w:val="00100C58"/>
    <w:rsid w:val="00107D4C"/>
    <w:rsid w:val="0011717B"/>
    <w:rsid w:val="00133B0F"/>
    <w:rsid w:val="0015254A"/>
    <w:rsid w:val="0015602F"/>
    <w:rsid w:val="00156A19"/>
    <w:rsid w:val="00180120"/>
    <w:rsid w:val="001E4ABC"/>
    <w:rsid w:val="00232659"/>
    <w:rsid w:val="00275420"/>
    <w:rsid w:val="00281420"/>
    <w:rsid w:val="00283F33"/>
    <w:rsid w:val="002863D4"/>
    <w:rsid w:val="002958C5"/>
    <w:rsid w:val="002B6CCA"/>
    <w:rsid w:val="002E2BF2"/>
    <w:rsid w:val="00300A83"/>
    <w:rsid w:val="0033255D"/>
    <w:rsid w:val="00355C02"/>
    <w:rsid w:val="0036168A"/>
    <w:rsid w:val="0036293E"/>
    <w:rsid w:val="0038175B"/>
    <w:rsid w:val="00392D1F"/>
    <w:rsid w:val="003A2731"/>
    <w:rsid w:val="003B548C"/>
    <w:rsid w:val="003D723B"/>
    <w:rsid w:val="003E0FAA"/>
    <w:rsid w:val="00403AB7"/>
    <w:rsid w:val="00417DDF"/>
    <w:rsid w:val="00433A79"/>
    <w:rsid w:val="00452C97"/>
    <w:rsid w:val="0047296B"/>
    <w:rsid w:val="00481F93"/>
    <w:rsid w:val="004C29F0"/>
    <w:rsid w:val="004D2CFE"/>
    <w:rsid w:val="004D305A"/>
    <w:rsid w:val="00500DF1"/>
    <w:rsid w:val="00502E05"/>
    <w:rsid w:val="005222D0"/>
    <w:rsid w:val="0055128E"/>
    <w:rsid w:val="00584C97"/>
    <w:rsid w:val="005B318D"/>
    <w:rsid w:val="005C502E"/>
    <w:rsid w:val="00664A64"/>
    <w:rsid w:val="006A7CAF"/>
    <w:rsid w:val="006C1E2E"/>
    <w:rsid w:val="006F04F4"/>
    <w:rsid w:val="007017DD"/>
    <w:rsid w:val="00725D44"/>
    <w:rsid w:val="007733B4"/>
    <w:rsid w:val="007920A8"/>
    <w:rsid w:val="007C32E1"/>
    <w:rsid w:val="007D306E"/>
    <w:rsid w:val="007E7182"/>
    <w:rsid w:val="0082760E"/>
    <w:rsid w:val="0087640A"/>
    <w:rsid w:val="008A710E"/>
    <w:rsid w:val="00907667"/>
    <w:rsid w:val="00915C02"/>
    <w:rsid w:val="00950E74"/>
    <w:rsid w:val="009641D9"/>
    <w:rsid w:val="009B4D40"/>
    <w:rsid w:val="009B5B4E"/>
    <w:rsid w:val="009C6941"/>
    <w:rsid w:val="009C7BF7"/>
    <w:rsid w:val="009F2098"/>
    <w:rsid w:val="009F76F1"/>
    <w:rsid w:val="00A12EDE"/>
    <w:rsid w:val="00A15F9A"/>
    <w:rsid w:val="00A2033A"/>
    <w:rsid w:val="00A44366"/>
    <w:rsid w:val="00A5240E"/>
    <w:rsid w:val="00A64F09"/>
    <w:rsid w:val="00AA14B6"/>
    <w:rsid w:val="00AB578E"/>
    <w:rsid w:val="00AC4D55"/>
    <w:rsid w:val="00AE0B5F"/>
    <w:rsid w:val="00AE51C4"/>
    <w:rsid w:val="00AE71D1"/>
    <w:rsid w:val="00B364AB"/>
    <w:rsid w:val="00B67970"/>
    <w:rsid w:val="00B8186D"/>
    <w:rsid w:val="00BB47DE"/>
    <w:rsid w:val="00BE767C"/>
    <w:rsid w:val="00BF4FA0"/>
    <w:rsid w:val="00C31732"/>
    <w:rsid w:val="00C47E08"/>
    <w:rsid w:val="00C51BE8"/>
    <w:rsid w:val="00C62A3E"/>
    <w:rsid w:val="00C8397E"/>
    <w:rsid w:val="00C874C8"/>
    <w:rsid w:val="00CA6494"/>
    <w:rsid w:val="00CF0D9C"/>
    <w:rsid w:val="00CF1ACE"/>
    <w:rsid w:val="00CF2C57"/>
    <w:rsid w:val="00CF2D5E"/>
    <w:rsid w:val="00CF61DC"/>
    <w:rsid w:val="00D17F3E"/>
    <w:rsid w:val="00D461B9"/>
    <w:rsid w:val="00D750DB"/>
    <w:rsid w:val="00D7773C"/>
    <w:rsid w:val="00DE272D"/>
    <w:rsid w:val="00DE4C2E"/>
    <w:rsid w:val="00E22C2F"/>
    <w:rsid w:val="00E24054"/>
    <w:rsid w:val="00E67013"/>
    <w:rsid w:val="00EF3489"/>
    <w:rsid w:val="00FA090F"/>
    <w:rsid w:val="00FA7977"/>
    <w:rsid w:val="00FB5E45"/>
    <w:rsid w:val="00FD05D9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CEA0"/>
  <w15:chartTrackingRefBased/>
  <w15:docId w15:val="{22CF0657-54E7-4EC1-89BF-56E59EAA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C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84C97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84C97"/>
    <w:rPr>
      <w:rFonts w:ascii="Arial" w:eastAsia="Times New Roman" w:hAnsi="Arial" w:cs="Arial"/>
      <w:szCs w:val="24"/>
      <w:lang w:val="es-ES" w:eastAsia="es-ES"/>
    </w:rPr>
  </w:style>
  <w:style w:type="character" w:styleId="Hipervnculo">
    <w:name w:val="Hyperlink"/>
    <w:rsid w:val="00584C9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7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1D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7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pchile.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agip-asociaci%C3%B3n-gremial-de-industrias-proveedoras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exooos-my.sharepoint.com/personal/admin_nexooos_microsoftonline_com/Documents/Oficina2023/MIrarrazaval/AGIP/01_enero/Indices%20Total%20y%20Categ.%20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nexooos-my.sharepoint.com/personal/admin_nexooos_microsoftonline_com/Documents/Oficina2023/MIrarrazaval/AGIP/01_enero/Indices%20Total%20y%20Categ.%202022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L" sz="1300" b="1" baseline="0">
                <a:latin typeface="Nirmala Text" panose="020B0502040204020203" pitchFamily="34" charset="0"/>
                <a:ea typeface="Nirmala Text" panose="020B0502040204020203" pitchFamily="34" charset="0"/>
                <a:cs typeface="Nirmala Text" panose="020B0502040204020203" pitchFamily="34" charset="0"/>
              </a:rPr>
              <a:t>Evolución Índice AGIP 2022</a:t>
            </a:r>
            <a:endParaRPr lang="es-CL" sz="1300" b="1">
              <a:latin typeface="Nirmala Text" panose="020B0502040204020203" pitchFamily="34" charset="0"/>
              <a:ea typeface="Nirmala Text" panose="020B0502040204020203" pitchFamily="34" charset="0"/>
              <a:cs typeface="Nirmala Text" panose="020B0502040204020203" pitchFamily="34" charset="0"/>
            </a:endParaRPr>
          </a:p>
        </c:rich>
      </c:tx>
      <c:layout>
        <c:manualLayout>
          <c:xMode val="edge"/>
          <c:yMode val="edge"/>
          <c:x val="0.32413691072996176"/>
          <c:y val="2.48323814253786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>
        <c:manualLayout>
          <c:layoutTarget val="inner"/>
          <c:xMode val="edge"/>
          <c:yMode val="edge"/>
          <c:x val="7.9928258967629048E-2"/>
          <c:y val="0.25083333333333335"/>
          <c:w val="0.88396062992125979"/>
          <c:h val="0.5358639545056868"/>
        </c:manualLayout>
      </c:layout>
      <c:lineChart>
        <c:grouping val="standard"/>
        <c:varyColors val="0"/>
        <c:ser>
          <c:idx val="0"/>
          <c:order val="0"/>
          <c:tx>
            <c:strRef>
              <c:f>Hoja1!$E$9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Hoja1!$D$10:$D$21</c:f>
              <c:strCache>
                <c:ptCount val="12"/>
                <c:pt idx="0">
                  <c:v>En22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Hoja1!$E$10:$E$21</c:f>
              <c:numCache>
                <c:formatCode>0.0</c:formatCode>
                <c:ptCount val="12"/>
                <c:pt idx="0">
                  <c:v>10.3</c:v>
                </c:pt>
                <c:pt idx="1">
                  <c:v>13.1</c:v>
                </c:pt>
                <c:pt idx="2">
                  <c:v>12.1</c:v>
                </c:pt>
                <c:pt idx="3">
                  <c:v>9</c:v>
                </c:pt>
                <c:pt idx="4">
                  <c:v>6.9905535372953782</c:v>
                </c:pt>
                <c:pt idx="5">
                  <c:v>2.9071415649110239</c:v>
                </c:pt>
                <c:pt idx="6">
                  <c:v>1.6914460387481589</c:v>
                </c:pt>
                <c:pt idx="7">
                  <c:v>7.6</c:v>
                </c:pt>
                <c:pt idx="8">
                  <c:v>5.3</c:v>
                </c:pt>
                <c:pt idx="9">
                  <c:v>8.8000000000000007</c:v>
                </c:pt>
                <c:pt idx="10">
                  <c:v>3.7</c:v>
                </c:pt>
                <c:pt idx="11">
                  <c:v>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AC-47D4-95E2-277E4034A1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2313311"/>
        <c:axId val="672309151"/>
      </c:lineChart>
      <c:catAx>
        <c:axId val="672313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672309151"/>
        <c:crosses val="autoZero"/>
        <c:auto val="1"/>
        <c:lblAlgn val="ctr"/>
        <c:lblOffset val="100"/>
        <c:noMultiLvlLbl val="0"/>
      </c:catAx>
      <c:valAx>
        <c:axId val="672309151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6723133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L" sz="1100" b="1">
                <a:latin typeface="Nirmala Text" panose="020B0502040204020203" pitchFamily="34" charset="0"/>
                <a:ea typeface="Nirmala Text" panose="020B0502040204020203" pitchFamily="34" charset="0"/>
                <a:cs typeface="Nirmala Text" panose="020B0502040204020203" pitchFamily="34" charset="0"/>
              </a:rPr>
              <a:t>Comparativo por categorías 2021 versus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>
        <c:manualLayout>
          <c:layoutTarget val="inner"/>
          <c:xMode val="edge"/>
          <c:yMode val="edge"/>
          <c:x val="2.7777777777777776E-2"/>
          <c:y val="0.16504629629629627"/>
          <c:w val="0.93888888888888888"/>
          <c:h val="0.575423957421988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 Total y Categoría 1m'!$N$120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Total y Categoría 1m'!$M$121:$M$125</c:f>
              <c:strCache>
                <c:ptCount val="5"/>
                <c:pt idx="0">
                  <c:v>Alimentos</c:v>
                </c:pt>
                <c:pt idx="1">
                  <c:v>Abarrotes no Alimentos</c:v>
                </c:pt>
                <c:pt idx="2">
                  <c:v>Abarrotes Perecibles</c:v>
                </c:pt>
                <c:pt idx="3">
                  <c:v>Bebidas, Cervezas y Licores</c:v>
                </c:pt>
                <c:pt idx="4">
                  <c:v>Higiene y Belleza</c:v>
                </c:pt>
              </c:strCache>
            </c:strRef>
          </c:cat>
          <c:val>
            <c:numRef>
              <c:f>' Total y Categoría 1m'!$N$121:$N$125</c:f>
              <c:numCache>
                <c:formatCode>0.0</c:formatCode>
                <c:ptCount val="5"/>
                <c:pt idx="0">
                  <c:v>10.416666666666668</c:v>
                </c:pt>
                <c:pt idx="1">
                  <c:v>12.192575526056089</c:v>
                </c:pt>
                <c:pt idx="2">
                  <c:v>12.092047845734587</c:v>
                </c:pt>
                <c:pt idx="3">
                  <c:v>33.312886998097781</c:v>
                </c:pt>
                <c:pt idx="4">
                  <c:v>17.647412653446647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BB-4E88-952E-0B76D83D4F5D}"/>
            </c:ext>
          </c:extLst>
        </c:ser>
        <c:ser>
          <c:idx val="1"/>
          <c:order val="1"/>
          <c:tx>
            <c:strRef>
              <c:f>' Total y Categoría 1m'!$O$120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Total y Categoría 1m'!$M$121:$M$125</c:f>
              <c:strCache>
                <c:ptCount val="5"/>
                <c:pt idx="0">
                  <c:v>Alimentos</c:v>
                </c:pt>
                <c:pt idx="1">
                  <c:v>Abarrotes no Alimentos</c:v>
                </c:pt>
                <c:pt idx="2">
                  <c:v>Abarrotes Perecibles</c:v>
                </c:pt>
                <c:pt idx="3">
                  <c:v>Bebidas, Cervezas y Licores</c:v>
                </c:pt>
                <c:pt idx="4">
                  <c:v>Higiene y Belleza</c:v>
                </c:pt>
              </c:strCache>
            </c:strRef>
          </c:cat>
          <c:val>
            <c:numRef>
              <c:f>' Total y Categoría 1m'!$O$121:$O$125</c:f>
              <c:numCache>
                <c:formatCode>0.0</c:formatCode>
                <c:ptCount val="5"/>
                <c:pt idx="0">
                  <c:v>7.5921572351302533</c:v>
                </c:pt>
                <c:pt idx="1">
                  <c:v>7.6187856584499691</c:v>
                </c:pt>
                <c:pt idx="2">
                  <c:v>8.3440494670392216</c:v>
                </c:pt>
                <c:pt idx="3">
                  <c:v>4.4347864291467447</c:v>
                </c:pt>
                <c:pt idx="4">
                  <c:v>3.646405099150142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BB-4E88-952E-0B76D83D4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590463"/>
        <c:axId val="583590879"/>
      </c:barChart>
      <c:catAx>
        <c:axId val="5835904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583590879"/>
        <c:crosses val="autoZero"/>
        <c:auto val="1"/>
        <c:lblAlgn val="ctr"/>
        <c:lblOffset val="100"/>
        <c:noMultiLvlLbl val="0"/>
      </c:catAx>
      <c:valAx>
        <c:axId val="583590879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5835904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Irarrazaval</dc:creator>
  <cp:keywords/>
  <dc:description/>
  <cp:lastModifiedBy>Manuel Irarrazaval</cp:lastModifiedBy>
  <cp:revision>19</cp:revision>
  <dcterms:created xsi:type="dcterms:W3CDTF">2023-01-30T15:36:00Z</dcterms:created>
  <dcterms:modified xsi:type="dcterms:W3CDTF">2023-01-30T18:27:00Z</dcterms:modified>
</cp:coreProperties>
</file>